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640A" w:rsidRPr="00EC640A" w:rsidRDefault="00585303" w:rsidP="00EC640A">
      <w:pPr>
        <w:pStyle w:val="Heading1"/>
        <w:rPr>
          <w:rFonts w:ascii="Arial" w:hAnsi="Arial" w:cs="Arial"/>
        </w:rPr>
      </w:pPr>
      <w:r>
        <w:rPr>
          <w:rFonts w:ascii="Arial" w:hAnsi="Arial" w:cs="Arial"/>
          <w:b/>
          <w:noProof/>
          <w:lang w:eastAsia="en-GB"/>
        </w:rPr>
        <w:drawing>
          <wp:anchor distT="0" distB="0" distL="114300" distR="114300" simplePos="0" relativeHeight="251658240" behindDoc="0" locked="0" layoutInCell="1" allowOverlap="1" wp14:anchorId="7D377777" wp14:editId="53EF0BDC">
            <wp:simplePos x="0" y="0"/>
            <wp:positionH relativeFrom="column">
              <wp:posOffset>4411980</wp:posOffset>
            </wp:positionH>
            <wp:positionV relativeFrom="paragraph">
              <wp:posOffset>-702945</wp:posOffset>
            </wp:positionV>
            <wp:extent cx="1987550" cy="621665"/>
            <wp:effectExtent l="0" t="0" r="0"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87550" cy="621665"/>
                    </a:xfrm>
                    <a:prstGeom prst="rect">
                      <a:avLst/>
                    </a:prstGeom>
                    <a:noFill/>
                  </pic:spPr>
                </pic:pic>
              </a:graphicData>
            </a:graphic>
            <wp14:sizeRelH relativeFrom="page">
              <wp14:pctWidth>0</wp14:pctWidth>
            </wp14:sizeRelH>
            <wp14:sizeRelV relativeFrom="page">
              <wp14:pctHeight>0</wp14:pctHeight>
            </wp14:sizeRelV>
          </wp:anchor>
        </w:drawing>
      </w:r>
      <w:r w:rsidR="00EC640A" w:rsidRPr="00EC640A">
        <w:rPr>
          <w:rFonts w:ascii="Arial" w:hAnsi="Arial" w:cs="Arial"/>
        </w:rPr>
        <w:t>The Sensory Learning Hub – An invitation</w:t>
      </w:r>
    </w:p>
    <w:p w:rsidR="00EC640A" w:rsidRPr="00EC640A" w:rsidRDefault="00EC640A" w:rsidP="00EC640A">
      <w:pPr>
        <w:rPr>
          <w:rFonts w:ascii="Arial" w:hAnsi="Arial" w:cs="Arial"/>
          <w:b/>
        </w:rPr>
      </w:pPr>
    </w:p>
    <w:p w:rsidR="00EC640A" w:rsidRPr="00EC640A" w:rsidRDefault="00EC640A" w:rsidP="00EC640A">
      <w:pPr>
        <w:pStyle w:val="Title"/>
        <w:rPr>
          <w:rFonts w:ascii="Arial" w:hAnsi="Arial" w:cs="Arial"/>
        </w:rPr>
      </w:pPr>
      <w:r w:rsidRPr="00EC640A">
        <w:rPr>
          <w:rFonts w:ascii="Arial" w:hAnsi="Arial" w:cs="Arial"/>
        </w:rPr>
        <w:t xml:space="preserve">The vision for the Sensory Learning Hub </w:t>
      </w:r>
    </w:p>
    <w:p w:rsidR="00EC640A" w:rsidRPr="00EC640A" w:rsidRDefault="00EC640A" w:rsidP="00EC640A">
      <w:pPr>
        <w:rPr>
          <w:rFonts w:ascii="Arial" w:hAnsi="Arial" w:cs="Arial"/>
          <w:sz w:val="24"/>
        </w:rPr>
      </w:pPr>
      <w:r w:rsidRPr="00EC640A">
        <w:rPr>
          <w:rFonts w:ascii="Arial" w:hAnsi="Arial" w:cs="Arial"/>
          <w:sz w:val="24"/>
        </w:rPr>
        <w:t xml:space="preserve">NatSIP will develop a national online interactive resource which will be called </w:t>
      </w:r>
      <w:r w:rsidRPr="00EC640A">
        <w:rPr>
          <w:rFonts w:ascii="Arial" w:hAnsi="Arial" w:cs="Arial"/>
          <w:color w:val="FF0000"/>
          <w:sz w:val="24"/>
        </w:rPr>
        <w:t>‘The Sensory Learning Hub’</w:t>
      </w:r>
      <w:r w:rsidRPr="00EC640A">
        <w:rPr>
          <w:rFonts w:ascii="Arial" w:hAnsi="Arial" w:cs="Arial"/>
          <w:sz w:val="24"/>
        </w:rPr>
        <w:t xml:space="preserve">.  The purpose of the sub will be to act as a first port of call for the workforce to find trusted information about sensory impairment and improve outcomes for children and young people with sensory impairment. The hub will house information and resources produced by NatSIP as well as other validated national resources. </w:t>
      </w:r>
    </w:p>
    <w:p w:rsidR="00EC640A" w:rsidRPr="00EC640A" w:rsidRDefault="00EC640A" w:rsidP="00EC640A">
      <w:pPr>
        <w:pStyle w:val="Title"/>
      </w:pPr>
      <w:r w:rsidRPr="00EC640A">
        <w:t>Function brief</w:t>
      </w:r>
    </w:p>
    <w:p w:rsidR="00EC640A" w:rsidRPr="00EC640A" w:rsidRDefault="00EC640A" w:rsidP="00EC640A">
      <w:pPr>
        <w:rPr>
          <w:rFonts w:ascii="Arial" w:hAnsi="Arial" w:cs="Arial"/>
          <w:sz w:val="24"/>
        </w:rPr>
      </w:pPr>
      <w:r w:rsidRPr="00EC640A">
        <w:rPr>
          <w:rFonts w:ascii="Arial" w:hAnsi="Arial" w:cs="Arial"/>
          <w:sz w:val="24"/>
        </w:rPr>
        <w:t>The SLH needs to serve a number of functions in order to deliver the vision</w:t>
      </w:r>
    </w:p>
    <w:p w:rsidR="00EC640A" w:rsidRPr="00EC640A" w:rsidRDefault="00EC640A" w:rsidP="00EC640A">
      <w:pPr>
        <w:pStyle w:val="ListParagraph"/>
        <w:numPr>
          <w:ilvl w:val="0"/>
          <w:numId w:val="1"/>
        </w:numPr>
        <w:rPr>
          <w:rFonts w:ascii="Arial" w:hAnsi="Arial" w:cs="Arial"/>
          <w:sz w:val="24"/>
        </w:rPr>
      </w:pPr>
      <w:r w:rsidRPr="00EC640A">
        <w:rPr>
          <w:rFonts w:ascii="Arial" w:hAnsi="Arial" w:cs="Arial"/>
          <w:sz w:val="24"/>
        </w:rPr>
        <w:t xml:space="preserve">It needs to appeal to a </w:t>
      </w:r>
      <w:r w:rsidRPr="00EC640A">
        <w:rPr>
          <w:rFonts w:ascii="Arial" w:hAnsi="Arial" w:cs="Arial"/>
          <w:color w:val="FF0000"/>
          <w:sz w:val="24"/>
        </w:rPr>
        <w:t xml:space="preserve">wide audience </w:t>
      </w:r>
      <w:r w:rsidRPr="00EC640A">
        <w:rPr>
          <w:rFonts w:ascii="Arial" w:hAnsi="Arial" w:cs="Arial"/>
          <w:sz w:val="24"/>
        </w:rPr>
        <w:t xml:space="preserve">– the mainstream sector, </w:t>
      </w:r>
      <w:proofErr w:type="spellStart"/>
      <w:r w:rsidRPr="00EC640A">
        <w:rPr>
          <w:rFonts w:ascii="Arial" w:hAnsi="Arial" w:cs="Arial"/>
          <w:sz w:val="24"/>
        </w:rPr>
        <w:t>SENCo</w:t>
      </w:r>
      <w:proofErr w:type="spellEnd"/>
      <w:r w:rsidRPr="00EC640A">
        <w:rPr>
          <w:rFonts w:ascii="Arial" w:hAnsi="Arial" w:cs="Arial"/>
          <w:sz w:val="24"/>
        </w:rPr>
        <w:t xml:space="preserve"> as well as the specialist sector – anyone who may be in the position of supporting a child with sensory impairment </w:t>
      </w:r>
    </w:p>
    <w:p w:rsidR="00EC640A" w:rsidRPr="00EC640A" w:rsidRDefault="00EC640A" w:rsidP="00EC640A">
      <w:pPr>
        <w:pStyle w:val="ListParagraph"/>
        <w:numPr>
          <w:ilvl w:val="0"/>
          <w:numId w:val="1"/>
        </w:numPr>
        <w:rPr>
          <w:rFonts w:ascii="Arial" w:hAnsi="Arial" w:cs="Arial"/>
          <w:sz w:val="24"/>
        </w:rPr>
      </w:pPr>
      <w:r w:rsidRPr="00EC640A">
        <w:rPr>
          <w:rFonts w:ascii="Arial" w:hAnsi="Arial" w:cs="Arial"/>
          <w:sz w:val="24"/>
        </w:rPr>
        <w:t xml:space="preserve">It needs to be able to take people through an easy and </w:t>
      </w:r>
      <w:r w:rsidRPr="00EC640A">
        <w:rPr>
          <w:rFonts w:ascii="Arial" w:hAnsi="Arial" w:cs="Arial"/>
          <w:color w:val="FF0000"/>
          <w:sz w:val="24"/>
        </w:rPr>
        <w:t xml:space="preserve">logical journey </w:t>
      </w:r>
      <w:r w:rsidRPr="00EC640A">
        <w:rPr>
          <w:rFonts w:ascii="Arial" w:hAnsi="Arial" w:cs="Arial"/>
          <w:sz w:val="24"/>
        </w:rPr>
        <w:t>to source information and resources</w:t>
      </w:r>
    </w:p>
    <w:p w:rsidR="00EC640A" w:rsidRPr="00EC640A" w:rsidRDefault="00EC640A" w:rsidP="00EC640A">
      <w:pPr>
        <w:pStyle w:val="ListParagraph"/>
        <w:numPr>
          <w:ilvl w:val="0"/>
          <w:numId w:val="1"/>
        </w:numPr>
        <w:rPr>
          <w:rFonts w:ascii="Arial" w:hAnsi="Arial" w:cs="Arial"/>
          <w:sz w:val="24"/>
        </w:rPr>
      </w:pPr>
      <w:r w:rsidRPr="00EC640A">
        <w:rPr>
          <w:rFonts w:ascii="Arial" w:hAnsi="Arial" w:cs="Arial"/>
          <w:sz w:val="24"/>
        </w:rPr>
        <w:t xml:space="preserve">It needs to be able to </w:t>
      </w:r>
      <w:r w:rsidRPr="00EC640A">
        <w:rPr>
          <w:rFonts w:ascii="Arial" w:hAnsi="Arial" w:cs="Arial"/>
          <w:color w:val="FF0000"/>
          <w:sz w:val="24"/>
        </w:rPr>
        <w:t xml:space="preserve">signpost </w:t>
      </w:r>
      <w:r w:rsidRPr="00EC640A">
        <w:rPr>
          <w:rFonts w:ascii="Arial" w:hAnsi="Arial" w:cs="Arial"/>
          <w:sz w:val="24"/>
        </w:rPr>
        <w:t>people to resources, training and information</w:t>
      </w:r>
    </w:p>
    <w:p w:rsidR="00EC640A" w:rsidRPr="00EC640A" w:rsidRDefault="00EC640A" w:rsidP="00EC640A">
      <w:pPr>
        <w:pStyle w:val="ListParagraph"/>
        <w:numPr>
          <w:ilvl w:val="0"/>
          <w:numId w:val="1"/>
        </w:numPr>
        <w:rPr>
          <w:rFonts w:ascii="Arial" w:hAnsi="Arial" w:cs="Arial"/>
          <w:sz w:val="24"/>
        </w:rPr>
      </w:pPr>
      <w:r w:rsidRPr="00EC640A">
        <w:rPr>
          <w:rFonts w:ascii="Arial" w:hAnsi="Arial" w:cs="Arial"/>
          <w:sz w:val="24"/>
        </w:rPr>
        <w:t xml:space="preserve">There needs to be opportunities to </w:t>
      </w:r>
      <w:r w:rsidRPr="00EC640A">
        <w:rPr>
          <w:rFonts w:ascii="Arial" w:hAnsi="Arial" w:cs="Arial"/>
          <w:color w:val="FF0000"/>
          <w:sz w:val="24"/>
        </w:rPr>
        <w:t>interact</w:t>
      </w:r>
      <w:r w:rsidRPr="00EC640A">
        <w:rPr>
          <w:rFonts w:ascii="Arial" w:hAnsi="Arial" w:cs="Arial"/>
          <w:sz w:val="24"/>
        </w:rPr>
        <w:t xml:space="preserve"> with others on the site, leave feedback and access information through social media feeds</w:t>
      </w:r>
    </w:p>
    <w:p w:rsidR="00EC640A" w:rsidRPr="00EC640A" w:rsidRDefault="00EC640A" w:rsidP="00EC640A">
      <w:pPr>
        <w:pStyle w:val="ListParagraph"/>
        <w:numPr>
          <w:ilvl w:val="0"/>
          <w:numId w:val="1"/>
        </w:numPr>
        <w:rPr>
          <w:rFonts w:ascii="Arial" w:hAnsi="Arial" w:cs="Arial"/>
          <w:sz w:val="24"/>
        </w:rPr>
      </w:pPr>
      <w:r w:rsidRPr="00EC640A">
        <w:rPr>
          <w:rFonts w:ascii="Arial" w:hAnsi="Arial" w:cs="Arial"/>
          <w:sz w:val="24"/>
        </w:rPr>
        <w:t xml:space="preserve">It needs to grow and develop so that it is recognised as a </w:t>
      </w:r>
      <w:r w:rsidRPr="00EC640A">
        <w:rPr>
          <w:rFonts w:ascii="Arial" w:hAnsi="Arial" w:cs="Arial"/>
          <w:color w:val="FF0000"/>
          <w:sz w:val="24"/>
        </w:rPr>
        <w:t xml:space="preserve">first port of call </w:t>
      </w:r>
      <w:r w:rsidRPr="00EC640A">
        <w:rPr>
          <w:rFonts w:ascii="Arial" w:hAnsi="Arial" w:cs="Arial"/>
          <w:sz w:val="24"/>
        </w:rPr>
        <w:t xml:space="preserve">for </w:t>
      </w:r>
      <w:r w:rsidRPr="00EC640A">
        <w:rPr>
          <w:rFonts w:ascii="Arial" w:hAnsi="Arial" w:cs="Arial"/>
          <w:color w:val="FF0000"/>
          <w:sz w:val="24"/>
        </w:rPr>
        <w:t xml:space="preserve">trusted information </w:t>
      </w:r>
      <w:r w:rsidRPr="00EC640A">
        <w:rPr>
          <w:rFonts w:ascii="Arial" w:hAnsi="Arial" w:cs="Arial"/>
          <w:sz w:val="24"/>
        </w:rPr>
        <w:t xml:space="preserve">in the SI sector </w:t>
      </w:r>
    </w:p>
    <w:p w:rsidR="00EC640A" w:rsidRPr="00EC640A" w:rsidRDefault="00EC640A" w:rsidP="00EC640A">
      <w:pPr>
        <w:pStyle w:val="Title"/>
        <w:rPr>
          <w:rFonts w:ascii="Arial" w:hAnsi="Arial" w:cs="Arial"/>
        </w:rPr>
      </w:pPr>
      <w:r w:rsidRPr="00EC640A">
        <w:rPr>
          <w:rFonts w:ascii="Arial" w:hAnsi="Arial" w:cs="Arial"/>
        </w:rPr>
        <w:t>Current development</w:t>
      </w:r>
    </w:p>
    <w:p w:rsidR="00EC640A" w:rsidRPr="00EC640A" w:rsidRDefault="00EC640A" w:rsidP="00EC640A">
      <w:pPr>
        <w:rPr>
          <w:rFonts w:ascii="Arial" w:hAnsi="Arial" w:cs="Arial"/>
        </w:rPr>
      </w:pPr>
      <w:r w:rsidRPr="00EC640A">
        <w:rPr>
          <w:rFonts w:ascii="Arial" w:hAnsi="Arial" w:cs="Arial"/>
          <w:noProof/>
          <w:lang w:eastAsia="en-GB"/>
        </w:rPr>
        <w:drawing>
          <wp:inline distT="0" distB="0" distL="0" distR="0" wp14:anchorId="0948EC6A" wp14:editId="4DA25BE0">
            <wp:extent cx="5731510" cy="1743452"/>
            <wp:effectExtent l="19050" t="38100" r="2540" b="95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EC640A" w:rsidRPr="00EC640A" w:rsidRDefault="00EC640A" w:rsidP="00EC640A">
      <w:pPr>
        <w:spacing w:after="0"/>
        <w:rPr>
          <w:rFonts w:ascii="Arial" w:hAnsi="Arial" w:cs="Arial"/>
          <w:sz w:val="24"/>
        </w:rPr>
      </w:pPr>
      <w:r w:rsidRPr="00EC640A">
        <w:rPr>
          <w:rFonts w:ascii="Arial" w:hAnsi="Arial" w:cs="Arial"/>
          <w:sz w:val="24"/>
        </w:rPr>
        <w:t xml:space="preserve">We are currently developing 4 key areas of the sensory learning hub </w:t>
      </w:r>
    </w:p>
    <w:p w:rsidR="00EC640A" w:rsidRPr="00EC640A" w:rsidRDefault="00EC640A" w:rsidP="00EC640A">
      <w:pPr>
        <w:pStyle w:val="ListParagraph"/>
        <w:numPr>
          <w:ilvl w:val="0"/>
          <w:numId w:val="4"/>
        </w:numPr>
        <w:spacing w:after="0"/>
        <w:rPr>
          <w:rFonts w:ascii="Arial" w:hAnsi="Arial" w:cs="Arial"/>
          <w:sz w:val="24"/>
        </w:rPr>
      </w:pPr>
      <w:r w:rsidRPr="00EC640A">
        <w:rPr>
          <w:rFonts w:ascii="Arial" w:hAnsi="Arial" w:cs="Arial"/>
          <w:b/>
          <w:color w:val="FF0000"/>
          <w:sz w:val="24"/>
        </w:rPr>
        <w:t>Develop</w:t>
      </w:r>
      <w:r w:rsidRPr="00EC640A">
        <w:rPr>
          <w:rFonts w:ascii="Arial" w:hAnsi="Arial" w:cs="Arial"/>
          <w:sz w:val="24"/>
        </w:rPr>
        <w:t xml:space="preserve"> – an area to find out about training and courses that are available </w:t>
      </w:r>
    </w:p>
    <w:p w:rsidR="00EC640A" w:rsidRPr="00EC640A" w:rsidRDefault="00EC640A" w:rsidP="00EC640A">
      <w:pPr>
        <w:pStyle w:val="ListParagraph"/>
        <w:numPr>
          <w:ilvl w:val="0"/>
          <w:numId w:val="4"/>
        </w:numPr>
        <w:spacing w:after="0"/>
        <w:rPr>
          <w:rFonts w:ascii="Arial" w:hAnsi="Arial" w:cs="Arial"/>
          <w:sz w:val="24"/>
        </w:rPr>
      </w:pPr>
      <w:r w:rsidRPr="00EC640A">
        <w:rPr>
          <w:rFonts w:ascii="Arial" w:hAnsi="Arial" w:cs="Arial"/>
          <w:b/>
          <w:color w:val="FF0000"/>
          <w:sz w:val="24"/>
        </w:rPr>
        <w:t>Know</w:t>
      </w:r>
      <w:r w:rsidRPr="00EC640A">
        <w:rPr>
          <w:rFonts w:ascii="Arial" w:hAnsi="Arial" w:cs="Arial"/>
          <w:sz w:val="24"/>
        </w:rPr>
        <w:t xml:space="preserve"> – an area to access our what works databases </w:t>
      </w:r>
    </w:p>
    <w:p w:rsidR="00EC640A" w:rsidRPr="00EC640A" w:rsidRDefault="00EC640A" w:rsidP="00EC640A">
      <w:pPr>
        <w:pStyle w:val="ListParagraph"/>
        <w:numPr>
          <w:ilvl w:val="0"/>
          <w:numId w:val="4"/>
        </w:numPr>
        <w:spacing w:after="0"/>
        <w:rPr>
          <w:rFonts w:ascii="Arial" w:hAnsi="Arial" w:cs="Arial"/>
          <w:sz w:val="24"/>
        </w:rPr>
      </w:pPr>
      <w:r w:rsidRPr="00EC640A">
        <w:rPr>
          <w:rFonts w:ascii="Arial" w:hAnsi="Arial" w:cs="Arial"/>
          <w:b/>
          <w:color w:val="FF0000"/>
          <w:sz w:val="24"/>
        </w:rPr>
        <w:t>Share</w:t>
      </w:r>
      <w:r w:rsidRPr="00EC640A">
        <w:rPr>
          <w:rFonts w:ascii="Arial" w:hAnsi="Arial" w:cs="Arial"/>
          <w:sz w:val="24"/>
        </w:rPr>
        <w:t xml:space="preserve"> – an area for resources </w:t>
      </w:r>
    </w:p>
    <w:p w:rsidR="00EC640A" w:rsidRPr="00EC640A" w:rsidRDefault="00EC640A" w:rsidP="00EC640A">
      <w:pPr>
        <w:pStyle w:val="ListParagraph"/>
        <w:numPr>
          <w:ilvl w:val="0"/>
          <w:numId w:val="4"/>
        </w:numPr>
        <w:spacing w:after="0"/>
        <w:rPr>
          <w:rFonts w:ascii="Arial" w:hAnsi="Arial" w:cs="Arial"/>
          <w:sz w:val="24"/>
        </w:rPr>
      </w:pPr>
      <w:r w:rsidRPr="00EC640A">
        <w:rPr>
          <w:rFonts w:ascii="Arial" w:hAnsi="Arial" w:cs="Arial"/>
          <w:b/>
          <w:color w:val="FF0000"/>
          <w:sz w:val="24"/>
        </w:rPr>
        <w:t>Interact</w:t>
      </w:r>
      <w:r w:rsidRPr="00EC640A">
        <w:rPr>
          <w:rFonts w:ascii="Arial" w:hAnsi="Arial" w:cs="Arial"/>
          <w:sz w:val="24"/>
        </w:rPr>
        <w:t xml:space="preserve"> – a space for discussion and accessing other social media </w:t>
      </w:r>
    </w:p>
    <w:p w:rsidR="00EC640A" w:rsidRPr="00EC640A" w:rsidRDefault="00EC640A" w:rsidP="00EC640A">
      <w:pPr>
        <w:rPr>
          <w:rFonts w:ascii="Arial" w:hAnsi="Arial" w:cs="Arial"/>
          <w:sz w:val="24"/>
        </w:rPr>
      </w:pPr>
    </w:p>
    <w:p w:rsidR="00EC640A" w:rsidRPr="00EC640A" w:rsidRDefault="00EC640A" w:rsidP="00EC640A">
      <w:pPr>
        <w:pStyle w:val="Title"/>
        <w:rPr>
          <w:rFonts w:ascii="Arial" w:hAnsi="Arial" w:cs="Arial"/>
        </w:rPr>
      </w:pPr>
      <w:r w:rsidRPr="00EC640A">
        <w:rPr>
          <w:rFonts w:ascii="Arial" w:hAnsi="Arial" w:cs="Arial"/>
        </w:rPr>
        <w:t xml:space="preserve">So what’s the invitation? </w:t>
      </w:r>
    </w:p>
    <w:p w:rsidR="00EC640A" w:rsidRPr="00EC640A" w:rsidRDefault="00EC640A" w:rsidP="00EC640A">
      <w:pPr>
        <w:spacing w:after="0"/>
        <w:rPr>
          <w:rFonts w:ascii="Arial" w:hAnsi="Arial" w:cs="Arial"/>
          <w:sz w:val="24"/>
        </w:rPr>
      </w:pPr>
      <w:r w:rsidRPr="00EC640A">
        <w:rPr>
          <w:rStyle w:val="Heading2Char"/>
          <w:color w:val="FF0000"/>
        </w:rPr>
        <w:t>Have a say</w:t>
      </w:r>
      <w:r w:rsidRPr="00EC640A">
        <w:rPr>
          <w:rFonts w:ascii="Arial" w:hAnsi="Arial" w:cs="Arial"/>
          <w:color w:val="FF0000"/>
          <w:sz w:val="24"/>
        </w:rPr>
        <w:t xml:space="preserve"> </w:t>
      </w:r>
      <w:r w:rsidRPr="00EC640A">
        <w:rPr>
          <w:rFonts w:ascii="Arial" w:hAnsi="Arial" w:cs="Arial"/>
          <w:sz w:val="24"/>
        </w:rPr>
        <w:t>– fill in your quick survey to help shape what you need from a hub to support the schools you work with. Tell us about your favourite resources for supporting children and young people with hearing, vision and multi-sensory impairment</w:t>
      </w:r>
      <w:r>
        <w:rPr>
          <w:rFonts w:ascii="Arial" w:hAnsi="Arial" w:cs="Arial"/>
          <w:sz w:val="24"/>
        </w:rPr>
        <w:t xml:space="preserve">. </w:t>
      </w:r>
    </w:p>
    <w:p w:rsidR="00EC640A" w:rsidRDefault="00EC640A" w:rsidP="00EC640A">
      <w:pPr>
        <w:spacing w:after="0"/>
        <w:rPr>
          <w:rFonts w:ascii="Arial" w:hAnsi="Arial" w:cs="Arial"/>
          <w:sz w:val="24"/>
        </w:rPr>
      </w:pPr>
    </w:p>
    <w:p w:rsidR="00EC640A" w:rsidRPr="00EC640A" w:rsidRDefault="00EC640A" w:rsidP="00EC640A">
      <w:pPr>
        <w:spacing w:after="0"/>
        <w:rPr>
          <w:rFonts w:ascii="Arial" w:hAnsi="Arial" w:cs="Arial"/>
          <w:sz w:val="24"/>
        </w:rPr>
      </w:pPr>
      <w:r w:rsidRPr="00EC640A">
        <w:rPr>
          <w:rStyle w:val="Heading2Char"/>
          <w:color w:val="FF0000"/>
        </w:rPr>
        <w:t>Join in</w:t>
      </w:r>
      <w:r w:rsidRPr="00EC640A">
        <w:rPr>
          <w:rFonts w:ascii="Arial" w:hAnsi="Arial" w:cs="Arial"/>
          <w:color w:val="FF0000"/>
          <w:sz w:val="24"/>
        </w:rPr>
        <w:t xml:space="preserve"> </w:t>
      </w:r>
      <w:r w:rsidRPr="00EC640A">
        <w:rPr>
          <w:rFonts w:ascii="Arial" w:hAnsi="Arial" w:cs="Arial"/>
          <w:sz w:val="24"/>
        </w:rPr>
        <w:t>– sign up to join the advisory group – it</w:t>
      </w:r>
      <w:r>
        <w:rPr>
          <w:rFonts w:ascii="Arial" w:hAnsi="Arial" w:cs="Arial"/>
          <w:sz w:val="24"/>
        </w:rPr>
        <w:t xml:space="preserve">’s an online commitment, </w:t>
      </w:r>
      <w:r w:rsidRPr="00EC640A">
        <w:rPr>
          <w:rFonts w:ascii="Arial" w:hAnsi="Arial" w:cs="Arial"/>
          <w:sz w:val="24"/>
        </w:rPr>
        <w:t xml:space="preserve">a chance to help </w:t>
      </w:r>
      <w:r>
        <w:rPr>
          <w:rFonts w:ascii="Arial" w:hAnsi="Arial" w:cs="Arial"/>
          <w:sz w:val="24"/>
        </w:rPr>
        <w:t xml:space="preserve">shape and </w:t>
      </w:r>
      <w:r w:rsidRPr="00EC640A">
        <w:rPr>
          <w:rFonts w:ascii="Arial" w:hAnsi="Arial" w:cs="Arial"/>
          <w:sz w:val="24"/>
        </w:rPr>
        <w:t>test ou</w:t>
      </w:r>
      <w:r>
        <w:rPr>
          <w:rFonts w:ascii="Arial" w:hAnsi="Arial" w:cs="Arial"/>
          <w:sz w:val="24"/>
        </w:rPr>
        <w:t xml:space="preserve">t ideas as well as providing feedback about </w:t>
      </w:r>
      <w:r w:rsidRPr="00EC640A">
        <w:rPr>
          <w:rFonts w:ascii="Arial" w:hAnsi="Arial" w:cs="Arial"/>
          <w:sz w:val="24"/>
        </w:rPr>
        <w:t xml:space="preserve">what works. </w:t>
      </w:r>
    </w:p>
    <w:p w:rsidR="00EC640A" w:rsidRDefault="00EC640A" w:rsidP="00EC640A">
      <w:pPr>
        <w:spacing w:after="0"/>
        <w:rPr>
          <w:rFonts w:ascii="Arial" w:hAnsi="Arial" w:cs="Arial"/>
          <w:sz w:val="24"/>
        </w:rPr>
      </w:pPr>
    </w:p>
    <w:p w:rsidR="00EC640A" w:rsidRPr="00EC640A" w:rsidRDefault="00EC640A" w:rsidP="00EC640A">
      <w:pPr>
        <w:spacing w:after="0"/>
        <w:rPr>
          <w:rFonts w:ascii="Arial" w:hAnsi="Arial" w:cs="Arial"/>
          <w:sz w:val="24"/>
        </w:rPr>
      </w:pPr>
      <w:r w:rsidRPr="00EC640A">
        <w:rPr>
          <w:rStyle w:val="Heading2Char"/>
          <w:color w:val="FF0000"/>
        </w:rPr>
        <w:t>Raise awareness</w:t>
      </w:r>
      <w:r w:rsidRPr="00EC640A">
        <w:rPr>
          <w:rFonts w:ascii="Arial" w:hAnsi="Arial" w:cs="Arial"/>
          <w:color w:val="FF0000"/>
          <w:sz w:val="24"/>
        </w:rPr>
        <w:t xml:space="preserve"> </w:t>
      </w:r>
      <w:r>
        <w:rPr>
          <w:rFonts w:ascii="Arial" w:hAnsi="Arial" w:cs="Arial"/>
          <w:sz w:val="24"/>
        </w:rPr>
        <w:t>–</w:t>
      </w:r>
      <w:r w:rsidRPr="00EC640A">
        <w:rPr>
          <w:rFonts w:ascii="Arial" w:hAnsi="Arial" w:cs="Arial"/>
          <w:sz w:val="24"/>
        </w:rPr>
        <w:t xml:space="preserve"> help</w:t>
      </w:r>
      <w:r>
        <w:rPr>
          <w:rFonts w:ascii="Arial" w:hAnsi="Arial" w:cs="Arial"/>
          <w:sz w:val="24"/>
        </w:rPr>
        <w:t xml:space="preserve"> </w:t>
      </w:r>
      <w:r w:rsidRPr="00EC640A">
        <w:rPr>
          <w:rFonts w:ascii="Arial" w:hAnsi="Arial" w:cs="Arial"/>
          <w:sz w:val="24"/>
        </w:rPr>
        <w:t xml:space="preserve">pilot the hub with colleagues in mainstream schools once we have a workable version available on the </w:t>
      </w:r>
      <w:proofErr w:type="gramStart"/>
      <w:r w:rsidRPr="00EC640A">
        <w:rPr>
          <w:rFonts w:ascii="Arial" w:hAnsi="Arial" w:cs="Arial"/>
          <w:sz w:val="24"/>
        </w:rPr>
        <w:t xml:space="preserve">website  </w:t>
      </w:r>
      <w:r>
        <w:rPr>
          <w:rFonts w:ascii="Arial" w:hAnsi="Arial" w:cs="Arial"/>
          <w:sz w:val="24"/>
        </w:rPr>
        <w:t>L</w:t>
      </w:r>
      <w:r>
        <w:rPr>
          <w:rFonts w:ascii="Arial" w:hAnsi="Arial" w:cs="Arial"/>
          <w:sz w:val="24"/>
        </w:rPr>
        <w:t>et</w:t>
      </w:r>
      <w:proofErr w:type="gramEnd"/>
      <w:r>
        <w:rPr>
          <w:rFonts w:ascii="Arial" w:hAnsi="Arial" w:cs="Arial"/>
          <w:sz w:val="24"/>
        </w:rPr>
        <w:t xml:space="preserve"> us know any other ideas about how to support and reach mainstream schools</w:t>
      </w:r>
      <w:r>
        <w:rPr>
          <w:rFonts w:ascii="Arial" w:hAnsi="Arial" w:cs="Arial"/>
          <w:sz w:val="24"/>
        </w:rPr>
        <w:t>.</w:t>
      </w:r>
    </w:p>
    <w:p w:rsidR="00EC640A" w:rsidRPr="00EC640A" w:rsidRDefault="00EC640A" w:rsidP="00EC640A">
      <w:pPr>
        <w:rPr>
          <w:rFonts w:ascii="Arial" w:hAnsi="Arial" w:cs="Arial"/>
        </w:rPr>
      </w:pPr>
    </w:p>
    <w:p w:rsidR="000E261C" w:rsidRPr="00EC640A" w:rsidRDefault="0046484E">
      <w:pPr>
        <w:rPr>
          <w:rFonts w:ascii="Arial" w:hAnsi="Arial" w:cs="Arial"/>
        </w:rPr>
      </w:pPr>
    </w:p>
    <w:sectPr w:rsidR="000E261C" w:rsidRPr="00EC64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52266"/>
    <w:multiLevelType w:val="hybridMultilevel"/>
    <w:tmpl w:val="A276192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ABE184B"/>
    <w:multiLevelType w:val="hybridMultilevel"/>
    <w:tmpl w:val="77D82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1EE461B"/>
    <w:multiLevelType w:val="hybridMultilevel"/>
    <w:tmpl w:val="59F4745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78E77E72"/>
    <w:multiLevelType w:val="hybridMultilevel"/>
    <w:tmpl w:val="4308113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revisionView w:formatting="0" w:inkAnnotations="0"/>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40A"/>
    <w:rsid w:val="00266D70"/>
    <w:rsid w:val="00585303"/>
    <w:rsid w:val="006F5867"/>
    <w:rsid w:val="00EC640A"/>
    <w:rsid w:val="00F01A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640A"/>
  </w:style>
  <w:style w:type="paragraph" w:styleId="Heading1">
    <w:name w:val="heading 1"/>
    <w:basedOn w:val="Normal"/>
    <w:next w:val="Normal"/>
    <w:link w:val="Heading1Char"/>
    <w:uiPriority w:val="9"/>
    <w:qFormat/>
    <w:rsid w:val="00F01AAE"/>
    <w:pPr>
      <w:outlineLvl w:val="0"/>
    </w:pPr>
    <w:rPr>
      <w:sz w:val="42"/>
      <w:szCs w:val="40"/>
    </w:rPr>
  </w:style>
  <w:style w:type="paragraph" w:styleId="Heading2">
    <w:name w:val="heading 2"/>
    <w:aliases w:val="highlight purple"/>
    <w:basedOn w:val="Normal"/>
    <w:next w:val="Normal"/>
    <w:link w:val="Heading2Char"/>
    <w:uiPriority w:val="9"/>
    <w:unhideWhenUsed/>
    <w:qFormat/>
    <w:rsid w:val="00F01AAE"/>
    <w:pPr>
      <w:outlineLvl w:val="1"/>
    </w:pPr>
    <w:rPr>
      <w:b/>
      <w:color w:val="65327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1AAE"/>
    <w:rPr>
      <w:rFonts w:ascii="Arial" w:hAnsi="Arial" w:cs="Arial"/>
      <w:sz w:val="42"/>
      <w:szCs w:val="40"/>
    </w:rPr>
  </w:style>
  <w:style w:type="character" w:customStyle="1" w:styleId="Heading2Char">
    <w:name w:val="Heading 2 Char"/>
    <w:aliases w:val="highlight purple Char"/>
    <w:basedOn w:val="DefaultParagraphFont"/>
    <w:link w:val="Heading2"/>
    <w:uiPriority w:val="9"/>
    <w:rsid w:val="00F01AAE"/>
    <w:rPr>
      <w:rFonts w:ascii="Arial" w:hAnsi="Arial" w:cs="Arial"/>
      <w:b/>
      <w:color w:val="653279"/>
      <w:sz w:val="24"/>
      <w:szCs w:val="24"/>
    </w:rPr>
  </w:style>
  <w:style w:type="paragraph" w:styleId="Title">
    <w:name w:val="Title"/>
    <w:basedOn w:val="Normal"/>
    <w:next w:val="Normal"/>
    <w:link w:val="TitleChar"/>
    <w:uiPriority w:val="10"/>
    <w:qFormat/>
    <w:rsid w:val="00F01AAE"/>
    <w:rPr>
      <w:sz w:val="36"/>
      <w:szCs w:val="36"/>
    </w:rPr>
  </w:style>
  <w:style w:type="character" w:customStyle="1" w:styleId="TitleChar">
    <w:name w:val="Title Char"/>
    <w:basedOn w:val="DefaultParagraphFont"/>
    <w:link w:val="Title"/>
    <w:uiPriority w:val="10"/>
    <w:rsid w:val="00F01AAE"/>
    <w:rPr>
      <w:rFonts w:ascii="Arial" w:hAnsi="Arial" w:cs="Arial"/>
      <w:sz w:val="36"/>
      <w:szCs w:val="36"/>
    </w:rPr>
  </w:style>
  <w:style w:type="paragraph" w:styleId="Subtitle">
    <w:name w:val="Subtitle"/>
    <w:basedOn w:val="Normal"/>
    <w:next w:val="Normal"/>
    <w:link w:val="SubtitleChar"/>
    <w:uiPriority w:val="11"/>
    <w:qFormat/>
    <w:rsid w:val="00F01AAE"/>
    <w:rPr>
      <w:sz w:val="28"/>
      <w:szCs w:val="28"/>
    </w:rPr>
  </w:style>
  <w:style w:type="character" w:customStyle="1" w:styleId="SubtitleChar">
    <w:name w:val="Subtitle Char"/>
    <w:basedOn w:val="DefaultParagraphFont"/>
    <w:link w:val="Subtitle"/>
    <w:uiPriority w:val="11"/>
    <w:rsid w:val="00F01AAE"/>
    <w:rPr>
      <w:rFonts w:ascii="Arial" w:hAnsi="Arial" w:cs="Arial"/>
      <w:sz w:val="28"/>
      <w:szCs w:val="28"/>
    </w:rPr>
  </w:style>
  <w:style w:type="character" w:styleId="Strong">
    <w:name w:val="Strong"/>
    <w:aliases w:val="highlight orange"/>
    <w:uiPriority w:val="22"/>
    <w:qFormat/>
    <w:rsid w:val="00F01AAE"/>
    <w:rPr>
      <w:b/>
      <w:color w:val="E57200"/>
    </w:rPr>
  </w:style>
  <w:style w:type="paragraph" w:styleId="ListParagraph">
    <w:name w:val="List Paragraph"/>
    <w:basedOn w:val="Normal"/>
    <w:uiPriority w:val="34"/>
    <w:qFormat/>
    <w:rsid w:val="00EC640A"/>
    <w:pPr>
      <w:ind w:left="720"/>
      <w:contextualSpacing/>
    </w:pPr>
  </w:style>
  <w:style w:type="paragraph" w:styleId="BalloonText">
    <w:name w:val="Balloon Text"/>
    <w:basedOn w:val="Normal"/>
    <w:link w:val="BalloonTextChar"/>
    <w:uiPriority w:val="99"/>
    <w:semiHidden/>
    <w:unhideWhenUsed/>
    <w:rsid w:val="00EC64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640A"/>
    <w:rPr>
      <w:rFonts w:ascii="Tahoma" w:hAnsi="Tahoma" w:cs="Tahoma"/>
      <w:sz w:val="16"/>
      <w:szCs w:val="16"/>
    </w:rPr>
  </w:style>
  <w:style w:type="paragraph" w:styleId="NoSpacing">
    <w:name w:val="No Spacing"/>
    <w:uiPriority w:val="1"/>
    <w:qFormat/>
    <w:rsid w:val="00EC640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640A"/>
  </w:style>
  <w:style w:type="paragraph" w:styleId="Heading1">
    <w:name w:val="heading 1"/>
    <w:basedOn w:val="Normal"/>
    <w:next w:val="Normal"/>
    <w:link w:val="Heading1Char"/>
    <w:uiPriority w:val="9"/>
    <w:qFormat/>
    <w:rsid w:val="00F01AAE"/>
    <w:pPr>
      <w:outlineLvl w:val="0"/>
    </w:pPr>
    <w:rPr>
      <w:sz w:val="42"/>
      <w:szCs w:val="40"/>
    </w:rPr>
  </w:style>
  <w:style w:type="paragraph" w:styleId="Heading2">
    <w:name w:val="heading 2"/>
    <w:aliases w:val="highlight purple"/>
    <w:basedOn w:val="Normal"/>
    <w:next w:val="Normal"/>
    <w:link w:val="Heading2Char"/>
    <w:uiPriority w:val="9"/>
    <w:unhideWhenUsed/>
    <w:qFormat/>
    <w:rsid w:val="00F01AAE"/>
    <w:pPr>
      <w:outlineLvl w:val="1"/>
    </w:pPr>
    <w:rPr>
      <w:b/>
      <w:color w:val="65327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1AAE"/>
    <w:rPr>
      <w:rFonts w:ascii="Arial" w:hAnsi="Arial" w:cs="Arial"/>
      <w:sz w:val="42"/>
      <w:szCs w:val="40"/>
    </w:rPr>
  </w:style>
  <w:style w:type="character" w:customStyle="1" w:styleId="Heading2Char">
    <w:name w:val="Heading 2 Char"/>
    <w:aliases w:val="highlight purple Char"/>
    <w:basedOn w:val="DefaultParagraphFont"/>
    <w:link w:val="Heading2"/>
    <w:uiPriority w:val="9"/>
    <w:rsid w:val="00F01AAE"/>
    <w:rPr>
      <w:rFonts w:ascii="Arial" w:hAnsi="Arial" w:cs="Arial"/>
      <w:b/>
      <w:color w:val="653279"/>
      <w:sz w:val="24"/>
      <w:szCs w:val="24"/>
    </w:rPr>
  </w:style>
  <w:style w:type="paragraph" w:styleId="Title">
    <w:name w:val="Title"/>
    <w:basedOn w:val="Normal"/>
    <w:next w:val="Normal"/>
    <w:link w:val="TitleChar"/>
    <w:uiPriority w:val="10"/>
    <w:qFormat/>
    <w:rsid w:val="00F01AAE"/>
    <w:rPr>
      <w:sz w:val="36"/>
      <w:szCs w:val="36"/>
    </w:rPr>
  </w:style>
  <w:style w:type="character" w:customStyle="1" w:styleId="TitleChar">
    <w:name w:val="Title Char"/>
    <w:basedOn w:val="DefaultParagraphFont"/>
    <w:link w:val="Title"/>
    <w:uiPriority w:val="10"/>
    <w:rsid w:val="00F01AAE"/>
    <w:rPr>
      <w:rFonts w:ascii="Arial" w:hAnsi="Arial" w:cs="Arial"/>
      <w:sz w:val="36"/>
      <w:szCs w:val="36"/>
    </w:rPr>
  </w:style>
  <w:style w:type="paragraph" w:styleId="Subtitle">
    <w:name w:val="Subtitle"/>
    <w:basedOn w:val="Normal"/>
    <w:next w:val="Normal"/>
    <w:link w:val="SubtitleChar"/>
    <w:uiPriority w:val="11"/>
    <w:qFormat/>
    <w:rsid w:val="00F01AAE"/>
    <w:rPr>
      <w:sz w:val="28"/>
      <w:szCs w:val="28"/>
    </w:rPr>
  </w:style>
  <w:style w:type="character" w:customStyle="1" w:styleId="SubtitleChar">
    <w:name w:val="Subtitle Char"/>
    <w:basedOn w:val="DefaultParagraphFont"/>
    <w:link w:val="Subtitle"/>
    <w:uiPriority w:val="11"/>
    <w:rsid w:val="00F01AAE"/>
    <w:rPr>
      <w:rFonts w:ascii="Arial" w:hAnsi="Arial" w:cs="Arial"/>
      <w:sz w:val="28"/>
      <w:szCs w:val="28"/>
    </w:rPr>
  </w:style>
  <w:style w:type="character" w:styleId="Strong">
    <w:name w:val="Strong"/>
    <w:aliases w:val="highlight orange"/>
    <w:uiPriority w:val="22"/>
    <w:qFormat/>
    <w:rsid w:val="00F01AAE"/>
    <w:rPr>
      <w:b/>
      <w:color w:val="E57200"/>
    </w:rPr>
  </w:style>
  <w:style w:type="paragraph" w:styleId="ListParagraph">
    <w:name w:val="List Paragraph"/>
    <w:basedOn w:val="Normal"/>
    <w:uiPriority w:val="34"/>
    <w:qFormat/>
    <w:rsid w:val="00EC640A"/>
    <w:pPr>
      <w:ind w:left="720"/>
      <w:contextualSpacing/>
    </w:pPr>
  </w:style>
  <w:style w:type="paragraph" w:styleId="BalloonText">
    <w:name w:val="Balloon Text"/>
    <w:basedOn w:val="Normal"/>
    <w:link w:val="BalloonTextChar"/>
    <w:uiPriority w:val="99"/>
    <w:semiHidden/>
    <w:unhideWhenUsed/>
    <w:rsid w:val="00EC64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640A"/>
    <w:rPr>
      <w:rFonts w:ascii="Tahoma" w:hAnsi="Tahoma" w:cs="Tahoma"/>
      <w:sz w:val="16"/>
      <w:szCs w:val="16"/>
    </w:rPr>
  </w:style>
  <w:style w:type="paragraph" w:styleId="NoSpacing">
    <w:name w:val="No Spacing"/>
    <w:uiPriority w:val="1"/>
    <w:qFormat/>
    <w:rsid w:val="00EC640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diagramData" Target="diagrams/data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microsoft.com/office/2007/relationships/diagramDrawing" Target="diagrams/drawing1.xml"/><Relationship Id="rId5" Type="http://schemas.openxmlformats.org/officeDocument/2006/relationships/webSettings" Target="webSettings.xml"/><Relationship Id="rId10"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BDB89C-E559-4DA5-9B2C-D4EB3A73BE4B}" type="doc">
      <dgm:prSet loTypeId="urn:microsoft.com/office/officeart/2005/8/layout/lProcess2" loCatId="list" qsTypeId="urn:microsoft.com/office/officeart/2005/8/quickstyle/simple1" qsCatId="simple" csTypeId="urn:microsoft.com/office/officeart/2005/8/colors/colorful2" csCatId="colorful" phldr="1"/>
      <dgm:spPr/>
      <dgm:t>
        <a:bodyPr/>
        <a:lstStyle/>
        <a:p>
          <a:endParaRPr lang="en-GB"/>
        </a:p>
      </dgm:t>
    </dgm:pt>
    <dgm:pt modelId="{079BFA49-2CB5-4BFD-9885-4257D7D8B2D0}">
      <dgm:prSet phldrT="[Text]"/>
      <dgm:spPr>
        <a:xfrm>
          <a:off x="1381" y="0"/>
          <a:ext cx="1355916" cy="1743452"/>
        </a:xfrm>
      </dgm:spPr>
      <dgm:t>
        <a:bodyPr/>
        <a:lstStyle/>
        <a:p>
          <a:r>
            <a:rPr lang="en-GB">
              <a:latin typeface="Calibri"/>
              <a:ea typeface="+mn-ea"/>
              <a:cs typeface="+mn-cs"/>
            </a:rPr>
            <a:t>Develop</a:t>
          </a:r>
        </a:p>
      </dgm:t>
    </dgm:pt>
    <dgm:pt modelId="{6D4CFB44-77DE-4443-95FA-1A75A017E7A6}" type="parTrans" cxnId="{38B1CCCA-FA39-42B6-B669-7B29201B0C48}">
      <dgm:prSet/>
      <dgm:spPr/>
      <dgm:t>
        <a:bodyPr/>
        <a:lstStyle/>
        <a:p>
          <a:endParaRPr lang="en-GB"/>
        </a:p>
      </dgm:t>
    </dgm:pt>
    <dgm:pt modelId="{902288A8-7C8C-4A54-9F07-D3A4DE51CB29}" type="sibTrans" cxnId="{38B1CCCA-FA39-42B6-B669-7B29201B0C48}">
      <dgm:prSet/>
      <dgm:spPr/>
      <dgm:t>
        <a:bodyPr/>
        <a:lstStyle/>
        <a:p>
          <a:endParaRPr lang="en-GB"/>
        </a:p>
      </dgm:t>
    </dgm:pt>
    <dgm:pt modelId="{0A9A862D-7633-48C1-8106-4F46199F1B5C}">
      <dgm:prSet phldrT="[Text]"/>
      <dgm:spPr>
        <a:xfrm>
          <a:off x="136973" y="523546"/>
          <a:ext cx="1084733" cy="525674"/>
        </a:xfrm>
      </dgm:spPr>
      <dgm:t>
        <a:bodyPr/>
        <a:lstStyle/>
        <a:p>
          <a:r>
            <a:rPr lang="en-GB">
              <a:latin typeface="Calibri"/>
              <a:ea typeface="+mn-ea"/>
              <a:cs typeface="+mn-cs"/>
            </a:rPr>
            <a:t>Training </a:t>
          </a:r>
        </a:p>
        <a:p>
          <a:r>
            <a:rPr lang="en-GB">
              <a:latin typeface="Calibri"/>
              <a:ea typeface="+mn-ea"/>
              <a:cs typeface="+mn-cs"/>
            </a:rPr>
            <a:t>pathways</a:t>
          </a:r>
        </a:p>
      </dgm:t>
    </dgm:pt>
    <dgm:pt modelId="{DA0CFCE5-E13B-48DA-9BF6-0BCAC11ACC7A}" type="parTrans" cxnId="{B446052F-1E8D-4D80-B80B-5958EC457A70}">
      <dgm:prSet/>
      <dgm:spPr/>
      <dgm:t>
        <a:bodyPr/>
        <a:lstStyle/>
        <a:p>
          <a:endParaRPr lang="en-GB"/>
        </a:p>
      </dgm:t>
    </dgm:pt>
    <dgm:pt modelId="{000F8BD2-5277-4CDF-8358-EAD721C3368F}" type="sibTrans" cxnId="{B446052F-1E8D-4D80-B80B-5958EC457A70}">
      <dgm:prSet/>
      <dgm:spPr/>
      <dgm:t>
        <a:bodyPr/>
        <a:lstStyle/>
        <a:p>
          <a:endParaRPr lang="en-GB"/>
        </a:p>
      </dgm:t>
    </dgm:pt>
    <dgm:pt modelId="{A20E207C-4015-4FC8-A686-666EE074360E}">
      <dgm:prSet phldrT="[Text]"/>
      <dgm:spPr>
        <a:xfrm>
          <a:off x="1458991" y="0"/>
          <a:ext cx="1355916" cy="1743452"/>
        </a:xfrm>
      </dgm:spPr>
      <dgm:t>
        <a:bodyPr/>
        <a:lstStyle/>
        <a:p>
          <a:r>
            <a:rPr lang="en-GB">
              <a:latin typeface="Calibri"/>
              <a:ea typeface="+mn-ea"/>
              <a:cs typeface="+mn-cs"/>
            </a:rPr>
            <a:t>Know </a:t>
          </a:r>
        </a:p>
      </dgm:t>
    </dgm:pt>
    <dgm:pt modelId="{8EAE56E3-2C66-43DD-B002-82C05932195F}" type="parTrans" cxnId="{F5DD4963-0F79-41C9-ACCD-79453C3757C4}">
      <dgm:prSet/>
      <dgm:spPr/>
      <dgm:t>
        <a:bodyPr/>
        <a:lstStyle/>
        <a:p>
          <a:endParaRPr lang="en-GB"/>
        </a:p>
      </dgm:t>
    </dgm:pt>
    <dgm:pt modelId="{82B39B25-5818-4E46-8766-556429FE1BA8}" type="sibTrans" cxnId="{F5DD4963-0F79-41C9-ACCD-79453C3757C4}">
      <dgm:prSet/>
      <dgm:spPr/>
      <dgm:t>
        <a:bodyPr/>
        <a:lstStyle/>
        <a:p>
          <a:endParaRPr lang="en-GB"/>
        </a:p>
      </dgm:t>
    </dgm:pt>
    <dgm:pt modelId="{C87CF037-9590-4A55-84EC-CE01CDD34C72}">
      <dgm:prSet phldrT="[Text]"/>
      <dgm:spPr>
        <a:xfrm>
          <a:off x="1594583" y="523546"/>
          <a:ext cx="1084733" cy="525674"/>
        </a:xfrm>
      </dgm:spPr>
      <dgm:t>
        <a:bodyPr/>
        <a:lstStyle/>
        <a:p>
          <a:r>
            <a:rPr lang="en-GB">
              <a:latin typeface="Calibri"/>
              <a:ea typeface="+mn-ea"/>
              <a:cs typeface="+mn-cs"/>
            </a:rPr>
            <a:t>What works  </a:t>
          </a:r>
        </a:p>
        <a:p>
          <a:r>
            <a:rPr lang="en-GB">
              <a:latin typeface="Calibri"/>
              <a:ea typeface="+mn-ea"/>
              <a:cs typeface="+mn-cs"/>
            </a:rPr>
            <a:t>good practice </a:t>
          </a:r>
        </a:p>
      </dgm:t>
    </dgm:pt>
    <dgm:pt modelId="{EB3380FB-CB45-45D9-987E-71F7B82D3004}" type="parTrans" cxnId="{AD6F9921-582F-4FB2-A30F-CED7612B8F2A}">
      <dgm:prSet/>
      <dgm:spPr/>
      <dgm:t>
        <a:bodyPr/>
        <a:lstStyle/>
        <a:p>
          <a:endParaRPr lang="en-GB"/>
        </a:p>
      </dgm:t>
    </dgm:pt>
    <dgm:pt modelId="{63955CFA-CC4F-44AC-9C01-7C22FF3336A4}" type="sibTrans" cxnId="{AD6F9921-582F-4FB2-A30F-CED7612B8F2A}">
      <dgm:prSet/>
      <dgm:spPr/>
      <dgm:t>
        <a:bodyPr/>
        <a:lstStyle/>
        <a:p>
          <a:endParaRPr lang="en-GB"/>
        </a:p>
      </dgm:t>
    </dgm:pt>
    <dgm:pt modelId="{7BAED848-04D0-4FE4-8F05-F77D08380B7C}">
      <dgm:prSet phldrT="[Text]"/>
      <dgm:spPr>
        <a:xfrm>
          <a:off x="2916601" y="0"/>
          <a:ext cx="1355916" cy="1743452"/>
        </a:xfrm>
      </dgm:spPr>
      <dgm:t>
        <a:bodyPr/>
        <a:lstStyle/>
        <a:p>
          <a:r>
            <a:rPr lang="en-GB">
              <a:latin typeface="Calibri"/>
              <a:ea typeface="+mn-ea"/>
              <a:cs typeface="+mn-cs"/>
            </a:rPr>
            <a:t>Share</a:t>
          </a:r>
        </a:p>
      </dgm:t>
    </dgm:pt>
    <dgm:pt modelId="{205599A7-5564-46A0-97DD-F26386D168C3}" type="parTrans" cxnId="{33F7AD68-27F0-45A4-9332-16060767596B}">
      <dgm:prSet/>
      <dgm:spPr/>
      <dgm:t>
        <a:bodyPr/>
        <a:lstStyle/>
        <a:p>
          <a:endParaRPr lang="en-GB"/>
        </a:p>
      </dgm:t>
    </dgm:pt>
    <dgm:pt modelId="{2268302E-0041-48DE-AD08-5FC04EF726C6}" type="sibTrans" cxnId="{33F7AD68-27F0-45A4-9332-16060767596B}">
      <dgm:prSet/>
      <dgm:spPr/>
      <dgm:t>
        <a:bodyPr/>
        <a:lstStyle/>
        <a:p>
          <a:endParaRPr lang="en-GB"/>
        </a:p>
      </dgm:t>
    </dgm:pt>
    <dgm:pt modelId="{D37CDCC2-6842-424F-A6E4-D48F7D302F2E}">
      <dgm:prSet phldrT="[Text]"/>
      <dgm:spPr>
        <a:xfrm>
          <a:off x="3052193" y="523184"/>
          <a:ext cx="1084733" cy="342518"/>
        </a:xfrm>
      </dgm:spPr>
      <dgm:t>
        <a:bodyPr/>
        <a:lstStyle/>
        <a:p>
          <a:r>
            <a:rPr lang="en-GB">
              <a:latin typeface="Calibri"/>
              <a:ea typeface="+mn-ea"/>
              <a:cs typeface="+mn-cs"/>
            </a:rPr>
            <a:t>Resources - NatSIP </a:t>
          </a:r>
        </a:p>
      </dgm:t>
    </dgm:pt>
    <dgm:pt modelId="{744D1632-CD66-4BFA-9AFE-41B181FF0D75}" type="parTrans" cxnId="{1707FFD2-E706-46AA-A2D9-A91E00703091}">
      <dgm:prSet/>
      <dgm:spPr/>
      <dgm:t>
        <a:bodyPr/>
        <a:lstStyle/>
        <a:p>
          <a:endParaRPr lang="en-GB"/>
        </a:p>
      </dgm:t>
    </dgm:pt>
    <dgm:pt modelId="{A3F294BF-BADA-42D3-ABF1-C1B2569DA827}" type="sibTrans" cxnId="{1707FFD2-E706-46AA-A2D9-A91E00703091}">
      <dgm:prSet/>
      <dgm:spPr/>
      <dgm:t>
        <a:bodyPr/>
        <a:lstStyle/>
        <a:p>
          <a:endParaRPr lang="en-GB"/>
        </a:p>
      </dgm:t>
    </dgm:pt>
    <dgm:pt modelId="{DCF205EA-A4E6-46A4-ACEA-B29F5B63A707}">
      <dgm:prSet phldrT="[Text]"/>
      <dgm:spPr>
        <a:xfrm>
          <a:off x="1594583" y="1130094"/>
          <a:ext cx="1084733" cy="525674"/>
        </a:xfrm>
      </dgm:spPr>
      <dgm:t>
        <a:bodyPr/>
        <a:lstStyle/>
        <a:p>
          <a:r>
            <a:rPr lang="en-GB">
              <a:latin typeface="Calibri"/>
              <a:ea typeface="+mn-ea"/>
              <a:cs typeface="+mn-cs"/>
            </a:rPr>
            <a:t>What works </a:t>
          </a:r>
        </a:p>
        <a:p>
          <a:r>
            <a:rPr lang="en-GB">
              <a:latin typeface="Calibri"/>
              <a:ea typeface="+mn-ea"/>
              <a:cs typeface="+mn-cs"/>
            </a:rPr>
            <a:t> technology </a:t>
          </a:r>
        </a:p>
      </dgm:t>
    </dgm:pt>
    <dgm:pt modelId="{E34FC66C-A7D2-494D-8F13-FA03DAEA3F2F}" type="parTrans" cxnId="{6FA8C2D5-3B6E-4D97-84B5-D57F8BE6CD77}">
      <dgm:prSet/>
      <dgm:spPr/>
      <dgm:t>
        <a:bodyPr/>
        <a:lstStyle/>
        <a:p>
          <a:endParaRPr lang="en-GB"/>
        </a:p>
      </dgm:t>
    </dgm:pt>
    <dgm:pt modelId="{2123D096-9E26-4535-B98D-0B25AD6A285F}" type="sibTrans" cxnId="{6FA8C2D5-3B6E-4D97-84B5-D57F8BE6CD77}">
      <dgm:prSet/>
      <dgm:spPr/>
      <dgm:t>
        <a:bodyPr/>
        <a:lstStyle/>
        <a:p>
          <a:endParaRPr lang="en-GB"/>
        </a:p>
      </dgm:t>
    </dgm:pt>
    <dgm:pt modelId="{5D682AB9-94B8-4C48-A88D-8E09CAFFC64D}">
      <dgm:prSet phldrT="[Text]"/>
      <dgm:spPr>
        <a:xfrm>
          <a:off x="136973" y="1130094"/>
          <a:ext cx="1084733" cy="525674"/>
        </a:xfrm>
      </dgm:spPr>
      <dgm:t>
        <a:bodyPr/>
        <a:lstStyle/>
        <a:p>
          <a:r>
            <a:rPr lang="en-GB">
              <a:latin typeface="Calibri"/>
              <a:ea typeface="+mn-ea"/>
              <a:cs typeface="+mn-cs"/>
            </a:rPr>
            <a:t>Training calendar - partners and upload</a:t>
          </a:r>
        </a:p>
      </dgm:t>
    </dgm:pt>
    <dgm:pt modelId="{E00B357F-FF3D-4CF4-9116-B0AFBC764BF5}" type="parTrans" cxnId="{997BADFE-D24D-4150-9E24-A443055D5E90}">
      <dgm:prSet/>
      <dgm:spPr/>
      <dgm:t>
        <a:bodyPr/>
        <a:lstStyle/>
        <a:p>
          <a:endParaRPr lang="en-GB"/>
        </a:p>
      </dgm:t>
    </dgm:pt>
    <dgm:pt modelId="{B72E36F1-0776-4C82-89B3-710771ED8BD2}" type="sibTrans" cxnId="{997BADFE-D24D-4150-9E24-A443055D5E90}">
      <dgm:prSet/>
      <dgm:spPr/>
      <dgm:t>
        <a:bodyPr/>
        <a:lstStyle/>
        <a:p>
          <a:endParaRPr lang="en-GB"/>
        </a:p>
      </dgm:t>
    </dgm:pt>
    <dgm:pt modelId="{80D5B57B-85B3-4619-B0E4-D65585930E15}">
      <dgm:prSet phldrT="[Text]"/>
      <dgm:spPr>
        <a:xfrm>
          <a:off x="3052193" y="918398"/>
          <a:ext cx="1084733" cy="342518"/>
        </a:xfrm>
      </dgm:spPr>
      <dgm:t>
        <a:bodyPr/>
        <a:lstStyle/>
        <a:p>
          <a:r>
            <a:rPr lang="en-GB">
              <a:latin typeface="Calibri"/>
              <a:ea typeface="+mn-ea"/>
              <a:cs typeface="+mn-cs"/>
            </a:rPr>
            <a:t>Resources - links to sector partners </a:t>
          </a:r>
        </a:p>
      </dgm:t>
    </dgm:pt>
    <dgm:pt modelId="{64DCEB60-844D-4565-9BCF-FAB8178659BD}" type="parTrans" cxnId="{AB3B4B4A-B2C7-4883-AEAD-48B6A88508CD}">
      <dgm:prSet/>
      <dgm:spPr/>
      <dgm:t>
        <a:bodyPr/>
        <a:lstStyle/>
        <a:p>
          <a:endParaRPr lang="en-GB"/>
        </a:p>
      </dgm:t>
    </dgm:pt>
    <dgm:pt modelId="{E84EF053-0BD9-4827-942C-091B0555A34E}" type="sibTrans" cxnId="{AB3B4B4A-B2C7-4883-AEAD-48B6A88508CD}">
      <dgm:prSet/>
      <dgm:spPr/>
      <dgm:t>
        <a:bodyPr/>
        <a:lstStyle/>
        <a:p>
          <a:endParaRPr lang="en-GB"/>
        </a:p>
      </dgm:t>
    </dgm:pt>
    <dgm:pt modelId="{AB6B6A33-DB87-413D-8D18-408B12D47DB3}">
      <dgm:prSet phldrT="[Text]"/>
      <dgm:spPr>
        <a:xfrm>
          <a:off x="3052193" y="1313611"/>
          <a:ext cx="1084733" cy="342518"/>
        </a:xfrm>
      </dgm:spPr>
      <dgm:t>
        <a:bodyPr/>
        <a:lstStyle/>
        <a:p>
          <a:r>
            <a:rPr lang="en-GB">
              <a:latin typeface="Calibri"/>
              <a:ea typeface="+mn-ea"/>
              <a:cs typeface="+mn-cs"/>
            </a:rPr>
            <a:t>Resouces - upload and share </a:t>
          </a:r>
        </a:p>
      </dgm:t>
    </dgm:pt>
    <dgm:pt modelId="{33742682-17C4-49D4-98BB-D1E3575F15B5}" type="parTrans" cxnId="{7BBB3940-5054-4ABE-A57F-8F5CA7151F97}">
      <dgm:prSet/>
      <dgm:spPr/>
      <dgm:t>
        <a:bodyPr/>
        <a:lstStyle/>
        <a:p>
          <a:endParaRPr lang="en-GB"/>
        </a:p>
      </dgm:t>
    </dgm:pt>
    <dgm:pt modelId="{0B0570F4-ADE0-4E43-8F0B-4A4850E886DF}" type="sibTrans" cxnId="{7BBB3940-5054-4ABE-A57F-8F5CA7151F97}">
      <dgm:prSet/>
      <dgm:spPr/>
      <dgm:t>
        <a:bodyPr/>
        <a:lstStyle/>
        <a:p>
          <a:endParaRPr lang="en-GB"/>
        </a:p>
      </dgm:t>
    </dgm:pt>
    <dgm:pt modelId="{50362404-B234-47A6-B85A-64FB702BD4A6}">
      <dgm:prSet/>
      <dgm:spPr>
        <a:xfrm>
          <a:off x="4374211" y="0"/>
          <a:ext cx="1355916" cy="1743452"/>
        </a:xfrm>
      </dgm:spPr>
      <dgm:t>
        <a:bodyPr/>
        <a:lstStyle/>
        <a:p>
          <a:r>
            <a:rPr lang="en-GB">
              <a:latin typeface="Calibri"/>
              <a:ea typeface="+mn-ea"/>
              <a:cs typeface="+mn-cs"/>
            </a:rPr>
            <a:t>Interact</a:t>
          </a:r>
        </a:p>
      </dgm:t>
    </dgm:pt>
    <dgm:pt modelId="{3CCC5AC2-576B-4A8A-9BD3-92FFE83D2AE0}" type="parTrans" cxnId="{EADBEA06-79FC-44E3-8A24-B93AB6DC8BE9}">
      <dgm:prSet/>
      <dgm:spPr/>
      <dgm:t>
        <a:bodyPr/>
        <a:lstStyle/>
        <a:p>
          <a:endParaRPr lang="en-GB"/>
        </a:p>
      </dgm:t>
    </dgm:pt>
    <dgm:pt modelId="{404A67C0-B48B-4E0E-ACEE-150B8F2F491F}" type="sibTrans" cxnId="{EADBEA06-79FC-44E3-8A24-B93AB6DC8BE9}">
      <dgm:prSet/>
      <dgm:spPr/>
      <dgm:t>
        <a:bodyPr/>
        <a:lstStyle/>
        <a:p>
          <a:endParaRPr lang="en-GB"/>
        </a:p>
      </dgm:t>
    </dgm:pt>
    <dgm:pt modelId="{AD5811AE-AFCB-43D1-84FE-ABE74F2CED71}">
      <dgm:prSet/>
      <dgm:spPr>
        <a:xfrm>
          <a:off x="4509803" y="1130094"/>
          <a:ext cx="1084733" cy="525674"/>
        </a:xfrm>
      </dgm:spPr>
      <dgm:t>
        <a:bodyPr/>
        <a:lstStyle/>
        <a:p>
          <a:r>
            <a:rPr lang="en-GB">
              <a:latin typeface="Calibri"/>
              <a:ea typeface="+mn-ea"/>
              <a:cs typeface="+mn-cs"/>
            </a:rPr>
            <a:t>Social media news </a:t>
          </a:r>
        </a:p>
      </dgm:t>
    </dgm:pt>
    <dgm:pt modelId="{CC4E88FF-F83F-4CA8-AAAD-2A4F219BB61C}" type="parTrans" cxnId="{F9F28CFD-F791-4BBE-AFBF-9906729337E7}">
      <dgm:prSet/>
      <dgm:spPr/>
      <dgm:t>
        <a:bodyPr/>
        <a:lstStyle/>
        <a:p>
          <a:endParaRPr lang="en-GB"/>
        </a:p>
      </dgm:t>
    </dgm:pt>
    <dgm:pt modelId="{790BB2BB-D939-4B2F-8613-08D352FA2563}" type="sibTrans" cxnId="{F9F28CFD-F791-4BBE-AFBF-9906729337E7}">
      <dgm:prSet/>
      <dgm:spPr/>
      <dgm:t>
        <a:bodyPr/>
        <a:lstStyle/>
        <a:p>
          <a:endParaRPr lang="en-GB"/>
        </a:p>
      </dgm:t>
    </dgm:pt>
    <dgm:pt modelId="{60AD3952-516B-4A02-B456-0189F31C9C09}">
      <dgm:prSet/>
      <dgm:spPr>
        <a:xfrm>
          <a:off x="4509803" y="523546"/>
          <a:ext cx="1084733" cy="525674"/>
        </a:xfrm>
      </dgm:spPr>
      <dgm:t>
        <a:bodyPr/>
        <a:lstStyle/>
        <a:p>
          <a:r>
            <a:rPr lang="en-GB">
              <a:latin typeface="Calibri"/>
              <a:ea typeface="+mn-ea"/>
              <a:cs typeface="+mn-cs"/>
            </a:rPr>
            <a:t>Discussion forums</a:t>
          </a:r>
        </a:p>
      </dgm:t>
    </dgm:pt>
    <dgm:pt modelId="{97F2CD2D-D5F9-4552-9BEC-60400C12709D}" type="parTrans" cxnId="{53E264F6-9171-4CDA-91F1-699B42DF78E3}">
      <dgm:prSet/>
      <dgm:spPr/>
      <dgm:t>
        <a:bodyPr/>
        <a:lstStyle/>
        <a:p>
          <a:endParaRPr lang="en-GB"/>
        </a:p>
      </dgm:t>
    </dgm:pt>
    <dgm:pt modelId="{6BD5E328-61E0-402A-8E25-E36AE7405357}" type="sibTrans" cxnId="{53E264F6-9171-4CDA-91F1-699B42DF78E3}">
      <dgm:prSet/>
      <dgm:spPr/>
      <dgm:t>
        <a:bodyPr/>
        <a:lstStyle/>
        <a:p>
          <a:endParaRPr lang="en-GB"/>
        </a:p>
      </dgm:t>
    </dgm:pt>
    <dgm:pt modelId="{25BEF9B1-8695-4981-AF3E-80525FF1D0A0}" type="pres">
      <dgm:prSet presAssocID="{FDBDB89C-E559-4DA5-9B2C-D4EB3A73BE4B}" presName="theList" presStyleCnt="0">
        <dgm:presLayoutVars>
          <dgm:dir/>
          <dgm:animLvl val="lvl"/>
          <dgm:resizeHandles val="exact"/>
        </dgm:presLayoutVars>
      </dgm:prSet>
      <dgm:spPr/>
      <dgm:t>
        <a:bodyPr/>
        <a:lstStyle/>
        <a:p>
          <a:endParaRPr lang="en-GB"/>
        </a:p>
      </dgm:t>
    </dgm:pt>
    <dgm:pt modelId="{8C2B231A-3091-4B0E-8735-B77D7F6304C1}" type="pres">
      <dgm:prSet presAssocID="{079BFA49-2CB5-4BFD-9885-4257D7D8B2D0}" presName="compNode" presStyleCnt="0"/>
      <dgm:spPr/>
      <dgm:t>
        <a:bodyPr/>
        <a:lstStyle/>
        <a:p>
          <a:endParaRPr lang="en-GB"/>
        </a:p>
      </dgm:t>
    </dgm:pt>
    <dgm:pt modelId="{C692B869-88DF-4EAB-A5E8-2ABB88F8466A}" type="pres">
      <dgm:prSet presAssocID="{079BFA49-2CB5-4BFD-9885-4257D7D8B2D0}" presName="aNode" presStyleLbl="bgShp" presStyleIdx="0" presStyleCnt="4"/>
      <dgm:spPr>
        <a:prstGeom prst="roundRect">
          <a:avLst>
            <a:gd name="adj" fmla="val 10000"/>
          </a:avLst>
        </a:prstGeom>
      </dgm:spPr>
      <dgm:t>
        <a:bodyPr/>
        <a:lstStyle/>
        <a:p>
          <a:endParaRPr lang="en-GB"/>
        </a:p>
      </dgm:t>
    </dgm:pt>
    <dgm:pt modelId="{BCC84D5C-5E18-48F4-8185-4FC2287E4C4C}" type="pres">
      <dgm:prSet presAssocID="{079BFA49-2CB5-4BFD-9885-4257D7D8B2D0}" presName="textNode" presStyleLbl="bgShp" presStyleIdx="0" presStyleCnt="4"/>
      <dgm:spPr/>
      <dgm:t>
        <a:bodyPr/>
        <a:lstStyle/>
        <a:p>
          <a:endParaRPr lang="en-GB"/>
        </a:p>
      </dgm:t>
    </dgm:pt>
    <dgm:pt modelId="{08A0D26D-A4F3-40BE-8777-5BE8D8156D0F}" type="pres">
      <dgm:prSet presAssocID="{079BFA49-2CB5-4BFD-9885-4257D7D8B2D0}" presName="compChildNode" presStyleCnt="0"/>
      <dgm:spPr/>
      <dgm:t>
        <a:bodyPr/>
        <a:lstStyle/>
        <a:p>
          <a:endParaRPr lang="en-GB"/>
        </a:p>
      </dgm:t>
    </dgm:pt>
    <dgm:pt modelId="{558B11BD-6E29-4A78-8A41-AFF82B223618}" type="pres">
      <dgm:prSet presAssocID="{079BFA49-2CB5-4BFD-9885-4257D7D8B2D0}" presName="theInnerList" presStyleCnt="0"/>
      <dgm:spPr/>
      <dgm:t>
        <a:bodyPr/>
        <a:lstStyle/>
        <a:p>
          <a:endParaRPr lang="en-GB"/>
        </a:p>
      </dgm:t>
    </dgm:pt>
    <dgm:pt modelId="{5C659118-65A0-44B2-810F-DF1AC292E7BC}" type="pres">
      <dgm:prSet presAssocID="{0A9A862D-7633-48C1-8106-4F46199F1B5C}" presName="childNode" presStyleLbl="node1" presStyleIdx="0" presStyleCnt="9">
        <dgm:presLayoutVars>
          <dgm:bulletEnabled val="1"/>
        </dgm:presLayoutVars>
      </dgm:prSet>
      <dgm:spPr>
        <a:prstGeom prst="roundRect">
          <a:avLst>
            <a:gd name="adj" fmla="val 10000"/>
          </a:avLst>
        </a:prstGeom>
      </dgm:spPr>
      <dgm:t>
        <a:bodyPr/>
        <a:lstStyle/>
        <a:p>
          <a:endParaRPr lang="en-GB"/>
        </a:p>
      </dgm:t>
    </dgm:pt>
    <dgm:pt modelId="{0335A08D-6676-47AD-B4AC-BDA6074B3ABB}" type="pres">
      <dgm:prSet presAssocID="{0A9A862D-7633-48C1-8106-4F46199F1B5C}" presName="aSpace2" presStyleCnt="0"/>
      <dgm:spPr/>
      <dgm:t>
        <a:bodyPr/>
        <a:lstStyle/>
        <a:p>
          <a:endParaRPr lang="en-GB"/>
        </a:p>
      </dgm:t>
    </dgm:pt>
    <dgm:pt modelId="{6CA604AB-077D-400F-A678-3A0FECF0762D}" type="pres">
      <dgm:prSet presAssocID="{5D682AB9-94B8-4C48-A88D-8E09CAFFC64D}" presName="childNode" presStyleLbl="node1" presStyleIdx="1" presStyleCnt="9">
        <dgm:presLayoutVars>
          <dgm:bulletEnabled val="1"/>
        </dgm:presLayoutVars>
      </dgm:prSet>
      <dgm:spPr>
        <a:prstGeom prst="roundRect">
          <a:avLst>
            <a:gd name="adj" fmla="val 10000"/>
          </a:avLst>
        </a:prstGeom>
      </dgm:spPr>
      <dgm:t>
        <a:bodyPr/>
        <a:lstStyle/>
        <a:p>
          <a:endParaRPr lang="en-GB"/>
        </a:p>
      </dgm:t>
    </dgm:pt>
    <dgm:pt modelId="{92075A81-E972-4C7B-B054-C1424A8CB266}" type="pres">
      <dgm:prSet presAssocID="{079BFA49-2CB5-4BFD-9885-4257D7D8B2D0}" presName="aSpace" presStyleCnt="0"/>
      <dgm:spPr/>
      <dgm:t>
        <a:bodyPr/>
        <a:lstStyle/>
        <a:p>
          <a:endParaRPr lang="en-GB"/>
        </a:p>
      </dgm:t>
    </dgm:pt>
    <dgm:pt modelId="{326BC8B8-C253-4F34-B6D9-8921CC87F63C}" type="pres">
      <dgm:prSet presAssocID="{A20E207C-4015-4FC8-A686-666EE074360E}" presName="compNode" presStyleCnt="0"/>
      <dgm:spPr/>
      <dgm:t>
        <a:bodyPr/>
        <a:lstStyle/>
        <a:p>
          <a:endParaRPr lang="en-GB"/>
        </a:p>
      </dgm:t>
    </dgm:pt>
    <dgm:pt modelId="{FA97529E-A5C6-49FD-B48C-C9961622C015}" type="pres">
      <dgm:prSet presAssocID="{A20E207C-4015-4FC8-A686-666EE074360E}" presName="aNode" presStyleLbl="bgShp" presStyleIdx="1" presStyleCnt="4"/>
      <dgm:spPr>
        <a:prstGeom prst="roundRect">
          <a:avLst>
            <a:gd name="adj" fmla="val 10000"/>
          </a:avLst>
        </a:prstGeom>
      </dgm:spPr>
      <dgm:t>
        <a:bodyPr/>
        <a:lstStyle/>
        <a:p>
          <a:endParaRPr lang="en-GB"/>
        </a:p>
      </dgm:t>
    </dgm:pt>
    <dgm:pt modelId="{B73E5A31-B7A8-4B1C-8F39-FAC21CADC8B2}" type="pres">
      <dgm:prSet presAssocID="{A20E207C-4015-4FC8-A686-666EE074360E}" presName="textNode" presStyleLbl="bgShp" presStyleIdx="1" presStyleCnt="4"/>
      <dgm:spPr/>
      <dgm:t>
        <a:bodyPr/>
        <a:lstStyle/>
        <a:p>
          <a:endParaRPr lang="en-GB"/>
        </a:p>
      </dgm:t>
    </dgm:pt>
    <dgm:pt modelId="{79681598-46D2-4837-A0F7-0391F2077DDA}" type="pres">
      <dgm:prSet presAssocID="{A20E207C-4015-4FC8-A686-666EE074360E}" presName="compChildNode" presStyleCnt="0"/>
      <dgm:spPr/>
      <dgm:t>
        <a:bodyPr/>
        <a:lstStyle/>
        <a:p>
          <a:endParaRPr lang="en-GB"/>
        </a:p>
      </dgm:t>
    </dgm:pt>
    <dgm:pt modelId="{C9D62754-FBBE-45D2-A5E3-5CA202AB2EBA}" type="pres">
      <dgm:prSet presAssocID="{A20E207C-4015-4FC8-A686-666EE074360E}" presName="theInnerList" presStyleCnt="0"/>
      <dgm:spPr/>
      <dgm:t>
        <a:bodyPr/>
        <a:lstStyle/>
        <a:p>
          <a:endParaRPr lang="en-GB"/>
        </a:p>
      </dgm:t>
    </dgm:pt>
    <dgm:pt modelId="{12CBECE2-DDA0-4A83-9150-5A7C989A1DB0}" type="pres">
      <dgm:prSet presAssocID="{C87CF037-9590-4A55-84EC-CE01CDD34C72}" presName="childNode" presStyleLbl="node1" presStyleIdx="2" presStyleCnt="9">
        <dgm:presLayoutVars>
          <dgm:bulletEnabled val="1"/>
        </dgm:presLayoutVars>
      </dgm:prSet>
      <dgm:spPr>
        <a:prstGeom prst="roundRect">
          <a:avLst>
            <a:gd name="adj" fmla="val 10000"/>
          </a:avLst>
        </a:prstGeom>
      </dgm:spPr>
      <dgm:t>
        <a:bodyPr/>
        <a:lstStyle/>
        <a:p>
          <a:endParaRPr lang="en-GB"/>
        </a:p>
      </dgm:t>
    </dgm:pt>
    <dgm:pt modelId="{3DA5D132-40EF-4452-A496-016A4009DF50}" type="pres">
      <dgm:prSet presAssocID="{C87CF037-9590-4A55-84EC-CE01CDD34C72}" presName="aSpace2" presStyleCnt="0"/>
      <dgm:spPr/>
      <dgm:t>
        <a:bodyPr/>
        <a:lstStyle/>
        <a:p>
          <a:endParaRPr lang="en-GB"/>
        </a:p>
      </dgm:t>
    </dgm:pt>
    <dgm:pt modelId="{DCB879E6-641F-472F-89F5-692DB436DF40}" type="pres">
      <dgm:prSet presAssocID="{DCF205EA-A4E6-46A4-ACEA-B29F5B63A707}" presName="childNode" presStyleLbl="node1" presStyleIdx="3" presStyleCnt="9">
        <dgm:presLayoutVars>
          <dgm:bulletEnabled val="1"/>
        </dgm:presLayoutVars>
      </dgm:prSet>
      <dgm:spPr>
        <a:prstGeom prst="roundRect">
          <a:avLst>
            <a:gd name="adj" fmla="val 10000"/>
          </a:avLst>
        </a:prstGeom>
      </dgm:spPr>
      <dgm:t>
        <a:bodyPr/>
        <a:lstStyle/>
        <a:p>
          <a:endParaRPr lang="en-GB"/>
        </a:p>
      </dgm:t>
    </dgm:pt>
    <dgm:pt modelId="{76C56248-E304-47B5-9FFD-865C76DE522B}" type="pres">
      <dgm:prSet presAssocID="{A20E207C-4015-4FC8-A686-666EE074360E}" presName="aSpace" presStyleCnt="0"/>
      <dgm:spPr/>
      <dgm:t>
        <a:bodyPr/>
        <a:lstStyle/>
        <a:p>
          <a:endParaRPr lang="en-GB"/>
        </a:p>
      </dgm:t>
    </dgm:pt>
    <dgm:pt modelId="{DFCAF1BE-D8E6-493A-84A8-2F282B120F3D}" type="pres">
      <dgm:prSet presAssocID="{7BAED848-04D0-4FE4-8F05-F77D08380B7C}" presName="compNode" presStyleCnt="0"/>
      <dgm:spPr/>
      <dgm:t>
        <a:bodyPr/>
        <a:lstStyle/>
        <a:p>
          <a:endParaRPr lang="en-GB"/>
        </a:p>
      </dgm:t>
    </dgm:pt>
    <dgm:pt modelId="{45100618-78D6-4217-AD00-2DDA690DAAC4}" type="pres">
      <dgm:prSet presAssocID="{7BAED848-04D0-4FE4-8F05-F77D08380B7C}" presName="aNode" presStyleLbl="bgShp" presStyleIdx="2" presStyleCnt="4"/>
      <dgm:spPr>
        <a:prstGeom prst="roundRect">
          <a:avLst>
            <a:gd name="adj" fmla="val 10000"/>
          </a:avLst>
        </a:prstGeom>
      </dgm:spPr>
      <dgm:t>
        <a:bodyPr/>
        <a:lstStyle/>
        <a:p>
          <a:endParaRPr lang="en-GB"/>
        </a:p>
      </dgm:t>
    </dgm:pt>
    <dgm:pt modelId="{25EAA094-EEF0-4963-883A-2F5963E8997D}" type="pres">
      <dgm:prSet presAssocID="{7BAED848-04D0-4FE4-8F05-F77D08380B7C}" presName="textNode" presStyleLbl="bgShp" presStyleIdx="2" presStyleCnt="4"/>
      <dgm:spPr/>
      <dgm:t>
        <a:bodyPr/>
        <a:lstStyle/>
        <a:p>
          <a:endParaRPr lang="en-GB"/>
        </a:p>
      </dgm:t>
    </dgm:pt>
    <dgm:pt modelId="{45DB6785-5AD5-49A2-A878-7117D6AC6E59}" type="pres">
      <dgm:prSet presAssocID="{7BAED848-04D0-4FE4-8F05-F77D08380B7C}" presName="compChildNode" presStyleCnt="0"/>
      <dgm:spPr/>
      <dgm:t>
        <a:bodyPr/>
        <a:lstStyle/>
        <a:p>
          <a:endParaRPr lang="en-GB"/>
        </a:p>
      </dgm:t>
    </dgm:pt>
    <dgm:pt modelId="{27E1E0D3-9946-4115-8F64-5D3CC672EBDE}" type="pres">
      <dgm:prSet presAssocID="{7BAED848-04D0-4FE4-8F05-F77D08380B7C}" presName="theInnerList" presStyleCnt="0"/>
      <dgm:spPr/>
      <dgm:t>
        <a:bodyPr/>
        <a:lstStyle/>
        <a:p>
          <a:endParaRPr lang="en-GB"/>
        </a:p>
      </dgm:t>
    </dgm:pt>
    <dgm:pt modelId="{14E9689C-E114-4E59-928F-5CBC6600B692}" type="pres">
      <dgm:prSet presAssocID="{D37CDCC2-6842-424F-A6E4-D48F7D302F2E}" presName="childNode" presStyleLbl="node1" presStyleIdx="4" presStyleCnt="9">
        <dgm:presLayoutVars>
          <dgm:bulletEnabled val="1"/>
        </dgm:presLayoutVars>
      </dgm:prSet>
      <dgm:spPr>
        <a:prstGeom prst="roundRect">
          <a:avLst>
            <a:gd name="adj" fmla="val 10000"/>
          </a:avLst>
        </a:prstGeom>
      </dgm:spPr>
      <dgm:t>
        <a:bodyPr/>
        <a:lstStyle/>
        <a:p>
          <a:endParaRPr lang="en-GB"/>
        </a:p>
      </dgm:t>
    </dgm:pt>
    <dgm:pt modelId="{CEBF92FA-8FE9-42EB-9EDC-FC6CC9FEBA65}" type="pres">
      <dgm:prSet presAssocID="{D37CDCC2-6842-424F-A6E4-D48F7D302F2E}" presName="aSpace2" presStyleCnt="0"/>
      <dgm:spPr/>
      <dgm:t>
        <a:bodyPr/>
        <a:lstStyle/>
        <a:p>
          <a:endParaRPr lang="en-GB"/>
        </a:p>
      </dgm:t>
    </dgm:pt>
    <dgm:pt modelId="{FB6B3485-4CBD-4509-BF3E-A0A04E930DB1}" type="pres">
      <dgm:prSet presAssocID="{80D5B57B-85B3-4619-B0E4-D65585930E15}" presName="childNode" presStyleLbl="node1" presStyleIdx="5" presStyleCnt="9">
        <dgm:presLayoutVars>
          <dgm:bulletEnabled val="1"/>
        </dgm:presLayoutVars>
      </dgm:prSet>
      <dgm:spPr>
        <a:prstGeom prst="roundRect">
          <a:avLst>
            <a:gd name="adj" fmla="val 10000"/>
          </a:avLst>
        </a:prstGeom>
      </dgm:spPr>
      <dgm:t>
        <a:bodyPr/>
        <a:lstStyle/>
        <a:p>
          <a:endParaRPr lang="en-GB"/>
        </a:p>
      </dgm:t>
    </dgm:pt>
    <dgm:pt modelId="{048A7133-C6B7-4F69-B847-3E5C47AD0542}" type="pres">
      <dgm:prSet presAssocID="{80D5B57B-85B3-4619-B0E4-D65585930E15}" presName="aSpace2" presStyleCnt="0"/>
      <dgm:spPr/>
      <dgm:t>
        <a:bodyPr/>
        <a:lstStyle/>
        <a:p>
          <a:endParaRPr lang="en-GB"/>
        </a:p>
      </dgm:t>
    </dgm:pt>
    <dgm:pt modelId="{42752089-D440-457D-953F-4F0ACA674672}" type="pres">
      <dgm:prSet presAssocID="{AB6B6A33-DB87-413D-8D18-408B12D47DB3}" presName="childNode" presStyleLbl="node1" presStyleIdx="6" presStyleCnt="9">
        <dgm:presLayoutVars>
          <dgm:bulletEnabled val="1"/>
        </dgm:presLayoutVars>
      </dgm:prSet>
      <dgm:spPr>
        <a:prstGeom prst="roundRect">
          <a:avLst>
            <a:gd name="adj" fmla="val 10000"/>
          </a:avLst>
        </a:prstGeom>
      </dgm:spPr>
      <dgm:t>
        <a:bodyPr/>
        <a:lstStyle/>
        <a:p>
          <a:endParaRPr lang="en-GB"/>
        </a:p>
      </dgm:t>
    </dgm:pt>
    <dgm:pt modelId="{ACD34268-E30D-46E4-9BC9-E0211B8C51AE}" type="pres">
      <dgm:prSet presAssocID="{7BAED848-04D0-4FE4-8F05-F77D08380B7C}" presName="aSpace" presStyleCnt="0"/>
      <dgm:spPr/>
      <dgm:t>
        <a:bodyPr/>
        <a:lstStyle/>
        <a:p>
          <a:endParaRPr lang="en-GB"/>
        </a:p>
      </dgm:t>
    </dgm:pt>
    <dgm:pt modelId="{DCFBFCBD-A0DB-43DE-8FE3-EEB98AD2BEDE}" type="pres">
      <dgm:prSet presAssocID="{50362404-B234-47A6-B85A-64FB702BD4A6}" presName="compNode" presStyleCnt="0"/>
      <dgm:spPr/>
      <dgm:t>
        <a:bodyPr/>
        <a:lstStyle/>
        <a:p>
          <a:endParaRPr lang="en-GB"/>
        </a:p>
      </dgm:t>
    </dgm:pt>
    <dgm:pt modelId="{E167FF6C-4BA8-46A4-9ABF-B8044077E622}" type="pres">
      <dgm:prSet presAssocID="{50362404-B234-47A6-B85A-64FB702BD4A6}" presName="aNode" presStyleLbl="bgShp" presStyleIdx="3" presStyleCnt="4"/>
      <dgm:spPr>
        <a:prstGeom prst="roundRect">
          <a:avLst>
            <a:gd name="adj" fmla="val 10000"/>
          </a:avLst>
        </a:prstGeom>
      </dgm:spPr>
      <dgm:t>
        <a:bodyPr/>
        <a:lstStyle/>
        <a:p>
          <a:endParaRPr lang="en-GB"/>
        </a:p>
      </dgm:t>
    </dgm:pt>
    <dgm:pt modelId="{3EFA2C89-508F-4A90-A7DF-AC51D5900B36}" type="pres">
      <dgm:prSet presAssocID="{50362404-B234-47A6-B85A-64FB702BD4A6}" presName="textNode" presStyleLbl="bgShp" presStyleIdx="3" presStyleCnt="4"/>
      <dgm:spPr/>
      <dgm:t>
        <a:bodyPr/>
        <a:lstStyle/>
        <a:p>
          <a:endParaRPr lang="en-GB"/>
        </a:p>
      </dgm:t>
    </dgm:pt>
    <dgm:pt modelId="{4441BA28-B671-435C-B909-1BB4D13D8D78}" type="pres">
      <dgm:prSet presAssocID="{50362404-B234-47A6-B85A-64FB702BD4A6}" presName="compChildNode" presStyleCnt="0"/>
      <dgm:spPr/>
      <dgm:t>
        <a:bodyPr/>
        <a:lstStyle/>
        <a:p>
          <a:endParaRPr lang="en-GB"/>
        </a:p>
      </dgm:t>
    </dgm:pt>
    <dgm:pt modelId="{01C39CF5-CBBB-479F-9C91-4866A261B787}" type="pres">
      <dgm:prSet presAssocID="{50362404-B234-47A6-B85A-64FB702BD4A6}" presName="theInnerList" presStyleCnt="0"/>
      <dgm:spPr/>
      <dgm:t>
        <a:bodyPr/>
        <a:lstStyle/>
        <a:p>
          <a:endParaRPr lang="en-GB"/>
        </a:p>
      </dgm:t>
    </dgm:pt>
    <dgm:pt modelId="{4A68E49E-E19B-401F-B71E-72E9AFBE9416}" type="pres">
      <dgm:prSet presAssocID="{60AD3952-516B-4A02-B456-0189F31C9C09}" presName="childNode" presStyleLbl="node1" presStyleIdx="7" presStyleCnt="9">
        <dgm:presLayoutVars>
          <dgm:bulletEnabled val="1"/>
        </dgm:presLayoutVars>
      </dgm:prSet>
      <dgm:spPr>
        <a:prstGeom prst="roundRect">
          <a:avLst>
            <a:gd name="adj" fmla="val 10000"/>
          </a:avLst>
        </a:prstGeom>
      </dgm:spPr>
      <dgm:t>
        <a:bodyPr/>
        <a:lstStyle/>
        <a:p>
          <a:endParaRPr lang="en-GB"/>
        </a:p>
      </dgm:t>
    </dgm:pt>
    <dgm:pt modelId="{74273AE7-D6FD-4392-A700-8D092CBC08BF}" type="pres">
      <dgm:prSet presAssocID="{60AD3952-516B-4A02-B456-0189F31C9C09}" presName="aSpace2" presStyleCnt="0"/>
      <dgm:spPr/>
      <dgm:t>
        <a:bodyPr/>
        <a:lstStyle/>
        <a:p>
          <a:endParaRPr lang="en-GB"/>
        </a:p>
      </dgm:t>
    </dgm:pt>
    <dgm:pt modelId="{41B9E693-FDAD-4DDE-904F-6376B2E0BD20}" type="pres">
      <dgm:prSet presAssocID="{AD5811AE-AFCB-43D1-84FE-ABE74F2CED71}" presName="childNode" presStyleLbl="node1" presStyleIdx="8" presStyleCnt="9">
        <dgm:presLayoutVars>
          <dgm:bulletEnabled val="1"/>
        </dgm:presLayoutVars>
      </dgm:prSet>
      <dgm:spPr>
        <a:prstGeom prst="roundRect">
          <a:avLst>
            <a:gd name="adj" fmla="val 10000"/>
          </a:avLst>
        </a:prstGeom>
      </dgm:spPr>
      <dgm:t>
        <a:bodyPr/>
        <a:lstStyle/>
        <a:p>
          <a:endParaRPr lang="en-GB"/>
        </a:p>
      </dgm:t>
    </dgm:pt>
  </dgm:ptLst>
  <dgm:cxnLst>
    <dgm:cxn modelId="{38B1CCCA-FA39-42B6-B669-7B29201B0C48}" srcId="{FDBDB89C-E559-4DA5-9B2C-D4EB3A73BE4B}" destId="{079BFA49-2CB5-4BFD-9885-4257D7D8B2D0}" srcOrd="0" destOrd="0" parTransId="{6D4CFB44-77DE-4443-95FA-1A75A017E7A6}" sibTransId="{902288A8-7C8C-4A54-9F07-D3A4DE51CB29}"/>
    <dgm:cxn modelId="{BB5B799A-52DE-491B-9318-6833254D4D02}" type="presOf" srcId="{079BFA49-2CB5-4BFD-9885-4257D7D8B2D0}" destId="{BCC84D5C-5E18-48F4-8185-4FC2287E4C4C}" srcOrd="1" destOrd="0" presId="urn:microsoft.com/office/officeart/2005/8/layout/lProcess2"/>
    <dgm:cxn modelId="{645D6F19-C632-4771-9A49-456502D2B357}" type="presOf" srcId="{A20E207C-4015-4FC8-A686-666EE074360E}" destId="{B73E5A31-B7A8-4B1C-8F39-FAC21CADC8B2}" srcOrd="1" destOrd="0" presId="urn:microsoft.com/office/officeart/2005/8/layout/lProcess2"/>
    <dgm:cxn modelId="{3ABBB08C-04AF-4024-9EA3-33547AFCA1B4}" type="presOf" srcId="{50362404-B234-47A6-B85A-64FB702BD4A6}" destId="{E167FF6C-4BA8-46A4-9ABF-B8044077E622}" srcOrd="0" destOrd="0" presId="urn:microsoft.com/office/officeart/2005/8/layout/lProcess2"/>
    <dgm:cxn modelId="{AB3B4B4A-B2C7-4883-AEAD-48B6A88508CD}" srcId="{7BAED848-04D0-4FE4-8F05-F77D08380B7C}" destId="{80D5B57B-85B3-4619-B0E4-D65585930E15}" srcOrd="1" destOrd="0" parTransId="{64DCEB60-844D-4565-9BCF-FAB8178659BD}" sibTransId="{E84EF053-0BD9-4827-942C-091B0555A34E}"/>
    <dgm:cxn modelId="{79839B61-B38B-4A6B-A1EE-0A448481A4FD}" type="presOf" srcId="{AD5811AE-AFCB-43D1-84FE-ABE74F2CED71}" destId="{41B9E693-FDAD-4DDE-904F-6376B2E0BD20}" srcOrd="0" destOrd="0" presId="urn:microsoft.com/office/officeart/2005/8/layout/lProcess2"/>
    <dgm:cxn modelId="{7311C5F8-4E8F-4792-BAC8-7B2FFA4CD01E}" type="presOf" srcId="{7BAED848-04D0-4FE4-8F05-F77D08380B7C}" destId="{25EAA094-EEF0-4963-883A-2F5963E8997D}" srcOrd="1" destOrd="0" presId="urn:microsoft.com/office/officeart/2005/8/layout/lProcess2"/>
    <dgm:cxn modelId="{94567A47-0A55-4B7E-A415-CF2BF988D750}" type="presOf" srcId="{079BFA49-2CB5-4BFD-9885-4257D7D8B2D0}" destId="{C692B869-88DF-4EAB-A5E8-2ABB88F8466A}" srcOrd="0" destOrd="0" presId="urn:microsoft.com/office/officeart/2005/8/layout/lProcess2"/>
    <dgm:cxn modelId="{B3742842-0486-4A89-A172-828F985563E4}" type="presOf" srcId="{FDBDB89C-E559-4DA5-9B2C-D4EB3A73BE4B}" destId="{25BEF9B1-8695-4981-AF3E-80525FF1D0A0}" srcOrd="0" destOrd="0" presId="urn:microsoft.com/office/officeart/2005/8/layout/lProcess2"/>
    <dgm:cxn modelId="{F9F28CFD-F791-4BBE-AFBF-9906729337E7}" srcId="{50362404-B234-47A6-B85A-64FB702BD4A6}" destId="{AD5811AE-AFCB-43D1-84FE-ABE74F2CED71}" srcOrd="1" destOrd="0" parTransId="{CC4E88FF-F83F-4CA8-AAAD-2A4F219BB61C}" sibTransId="{790BB2BB-D939-4B2F-8613-08D352FA2563}"/>
    <dgm:cxn modelId="{E0CFD7EF-E1AF-4E7A-B424-BEA0B556D258}" type="presOf" srcId="{DCF205EA-A4E6-46A4-ACEA-B29F5B63A707}" destId="{DCB879E6-641F-472F-89F5-692DB436DF40}" srcOrd="0" destOrd="0" presId="urn:microsoft.com/office/officeart/2005/8/layout/lProcess2"/>
    <dgm:cxn modelId="{22515471-324C-4660-ABE7-395148A14A37}" type="presOf" srcId="{A20E207C-4015-4FC8-A686-666EE074360E}" destId="{FA97529E-A5C6-49FD-B48C-C9961622C015}" srcOrd="0" destOrd="0" presId="urn:microsoft.com/office/officeart/2005/8/layout/lProcess2"/>
    <dgm:cxn modelId="{7BBB3940-5054-4ABE-A57F-8F5CA7151F97}" srcId="{7BAED848-04D0-4FE4-8F05-F77D08380B7C}" destId="{AB6B6A33-DB87-413D-8D18-408B12D47DB3}" srcOrd="2" destOrd="0" parTransId="{33742682-17C4-49D4-98BB-D1E3575F15B5}" sibTransId="{0B0570F4-ADE0-4E43-8F0B-4A4850E886DF}"/>
    <dgm:cxn modelId="{6FA8C2D5-3B6E-4D97-84B5-D57F8BE6CD77}" srcId="{A20E207C-4015-4FC8-A686-666EE074360E}" destId="{DCF205EA-A4E6-46A4-ACEA-B29F5B63A707}" srcOrd="1" destOrd="0" parTransId="{E34FC66C-A7D2-494D-8F13-FA03DAEA3F2F}" sibTransId="{2123D096-9E26-4535-B98D-0B25AD6A285F}"/>
    <dgm:cxn modelId="{B446052F-1E8D-4D80-B80B-5958EC457A70}" srcId="{079BFA49-2CB5-4BFD-9885-4257D7D8B2D0}" destId="{0A9A862D-7633-48C1-8106-4F46199F1B5C}" srcOrd="0" destOrd="0" parTransId="{DA0CFCE5-E13B-48DA-9BF6-0BCAC11ACC7A}" sibTransId="{000F8BD2-5277-4CDF-8358-EAD721C3368F}"/>
    <dgm:cxn modelId="{AD6F9921-582F-4FB2-A30F-CED7612B8F2A}" srcId="{A20E207C-4015-4FC8-A686-666EE074360E}" destId="{C87CF037-9590-4A55-84EC-CE01CDD34C72}" srcOrd="0" destOrd="0" parTransId="{EB3380FB-CB45-45D9-987E-71F7B82D3004}" sibTransId="{63955CFA-CC4F-44AC-9C01-7C22FF3336A4}"/>
    <dgm:cxn modelId="{3F290622-6680-4807-A798-D5E69504F6E7}" type="presOf" srcId="{5D682AB9-94B8-4C48-A88D-8E09CAFFC64D}" destId="{6CA604AB-077D-400F-A678-3A0FECF0762D}" srcOrd="0" destOrd="0" presId="urn:microsoft.com/office/officeart/2005/8/layout/lProcess2"/>
    <dgm:cxn modelId="{E39C2FCB-A862-4B42-8E0A-4E6F9849BF96}" type="presOf" srcId="{80D5B57B-85B3-4619-B0E4-D65585930E15}" destId="{FB6B3485-4CBD-4509-BF3E-A0A04E930DB1}" srcOrd="0" destOrd="0" presId="urn:microsoft.com/office/officeart/2005/8/layout/lProcess2"/>
    <dgm:cxn modelId="{53E264F6-9171-4CDA-91F1-699B42DF78E3}" srcId="{50362404-B234-47A6-B85A-64FB702BD4A6}" destId="{60AD3952-516B-4A02-B456-0189F31C9C09}" srcOrd="0" destOrd="0" parTransId="{97F2CD2D-D5F9-4552-9BEC-60400C12709D}" sibTransId="{6BD5E328-61E0-402A-8E25-E36AE7405357}"/>
    <dgm:cxn modelId="{EADBEA06-79FC-44E3-8A24-B93AB6DC8BE9}" srcId="{FDBDB89C-E559-4DA5-9B2C-D4EB3A73BE4B}" destId="{50362404-B234-47A6-B85A-64FB702BD4A6}" srcOrd="3" destOrd="0" parTransId="{3CCC5AC2-576B-4A8A-9BD3-92FFE83D2AE0}" sibTransId="{404A67C0-B48B-4E0E-ACEE-150B8F2F491F}"/>
    <dgm:cxn modelId="{E7EC7856-6839-4C26-8743-3E9EB287AFD7}" type="presOf" srcId="{D37CDCC2-6842-424F-A6E4-D48F7D302F2E}" destId="{14E9689C-E114-4E59-928F-5CBC6600B692}" srcOrd="0" destOrd="0" presId="urn:microsoft.com/office/officeart/2005/8/layout/lProcess2"/>
    <dgm:cxn modelId="{54917FBE-022C-44C3-8AAC-075EF0728BDA}" type="presOf" srcId="{0A9A862D-7633-48C1-8106-4F46199F1B5C}" destId="{5C659118-65A0-44B2-810F-DF1AC292E7BC}" srcOrd="0" destOrd="0" presId="urn:microsoft.com/office/officeart/2005/8/layout/lProcess2"/>
    <dgm:cxn modelId="{574C16FB-107B-430D-99ED-EE7C40F2B763}" type="presOf" srcId="{7BAED848-04D0-4FE4-8F05-F77D08380B7C}" destId="{45100618-78D6-4217-AD00-2DDA690DAAC4}" srcOrd="0" destOrd="0" presId="urn:microsoft.com/office/officeart/2005/8/layout/lProcess2"/>
    <dgm:cxn modelId="{4688A860-5A88-4D54-B9FA-43360E509119}" type="presOf" srcId="{50362404-B234-47A6-B85A-64FB702BD4A6}" destId="{3EFA2C89-508F-4A90-A7DF-AC51D5900B36}" srcOrd="1" destOrd="0" presId="urn:microsoft.com/office/officeart/2005/8/layout/lProcess2"/>
    <dgm:cxn modelId="{F5DD4963-0F79-41C9-ACCD-79453C3757C4}" srcId="{FDBDB89C-E559-4DA5-9B2C-D4EB3A73BE4B}" destId="{A20E207C-4015-4FC8-A686-666EE074360E}" srcOrd="1" destOrd="0" parTransId="{8EAE56E3-2C66-43DD-B002-82C05932195F}" sibTransId="{82B39B25-5818-4E46-8766-556429FE1BA8}"/>
    <dgm:cxn modelId="{FDE2AC25-CC5E-4DA5-824F-722D0E860A69}" type="presOf" srcId="{C87CF037-9590-4A55-84EC-CE01CDD34C72}" destId="{12CBECE2-DDA0-4A83-9150-5A7C989A1DB0}" srcOrd="0" destOrd="0" presId="urn:microsoft.com/office/officeart/2005/8/layout/lProcess2"/>
    <dgm:cxn modelId="{E5E4BB2B-8DD7-4582-A584-E1B132A29E10}" type="presOf" srcId="{60AD3952-516B-4A02-B456-0189F31C9C09}" destId="{4A68E49E-E19B-401F-B71E-72E9AFBE9416}" srcOrd="0" destOrd="0" presId="urn:microsoft.com/office/officeart/2005/8/layout/lProcess2"/>
    <dgm:cxn modelId="{0FE202D6-81ED-4528-B5BF-8507D6F6C71F}" type="presOf" srcId="{AB6B6A33-DB87-413D-8D18-408B12D47DB3}" destId="{42752089-D440-457D-953F-4F0ACA674672}" srcOrd="0" destOrd="0" presId="urn:microsoft.com/office/officeart/2005/8/layout/lProcess2"/>
    <dgm:cxn modelId="{33F7AD68-27F0-45A4-9332-16060767596B}" srcId="{FDBDB89C-E559-4DA5-9B2C-D4EB3A73BE4B}" destId="{7BAED848-04D0-4FE4-8F05-F77D08380B7C}" srcOrd="2" destOrd="0" parTransId="{205599A7-5564-46A0-97DD-F26386D168C3}" sibTransId="{2268302E-0041-48DE-AD08-5FC04EF726C6}"/>
    <dgm:cxn modelId="{1707FFD2-E706-46AA-A2D9-A91E00703091}" srcId="{7BAED848-04D0-4FE4-8F05-F77D08380B7C}" destId="{D37CDCC2-6842-424F-A6E4-D48F7D302F2E}" srcOrd="0" destOrd="0" parTransId="{744D1632-CD66-4BFA-9AFE-41B181FF0D75}" sibTransId="{A3F294BF-BADA-42D3-ABF1-C1B2569DA827}"/>
    <dgm:cxn modelId="{997BADFE-D24D-4150-9E24-A443055D5E90}" srcId="{079BFA49-2CB5-4BFD-9885-4257D7D8B2D0}" destId="{5D682AB9-94B8-4C48-A88D-8E09CAFFC64D}" srcOrd="1" destOrd="0" parTransId="{E00B357F-FF3D-4CF4-9116-B0AFBC764BF5}" sibTransId="{B72E36F1-0776-4C82-89B3-710771ED8BD2}"/>
    <dgm:cxn modelId="{8E730B7C-9883-4B3B-9927-ACCE6B317C75}" type="presParOf" srcId="{25BEF9B1-8695-4981-AF3E-80525FF1D0A0}" destId="{8C2B231A-3091-4B0E-8735-B77D7F6304C1}" srcOrd="0" destOrd="0" presId="urn:microsoft.com/office/officeart/2005/8/layout/lProcess2"/>
    <dgm:cxn modelId="{1D6A5C61-17E6-4A78-B1C7-44710F923681}" type="presParOf" srcId="{8C2B231A-3091-4B0E-8735-B77D7F6304C1}" destId="{C692B869-88DF-4EAB-A5E8-2ABB88F8466A}" srcOrd="0" destOrd="0" presId="urn:microsoft.com/office/officeart/2005/8/layout/lProcess2"/>
    <dgm:cxn modelId="{64C4C1CC-E79A-42BF-965A-330A47B2BE91}" type="presParOf" srcId="{8C2B231A-3091-4B0E-8735-B77D7F6304C1}" destId="{BCC84D5C-5E18-48F4-8185-4FC2287E4C4C}" srcOrd="1" destOrd="0" presId="urn:microsoft.com/office/officeart/2005/8/layout/lProcess2"/>
    <dgm:cxn modelId="{A660063D-672C-46AE-92F4-3A9A9A6E6A23}" type="presParOf" srcId="{8C2B231A-3091-4B0E-8735-B77D7F6304C1}" destId="{08A0D26D-A4F3-40BE-8777-5BE8D8156D0F}" srcOrd="2" destOrd="0" presId="urn:microsoft.com/office/officeart/2005/8/layout/lProcess2"/>
    <dgm:cxn modelId="{9415CECA-59D1-4C81-8482-F6FF9D654261}" type="presParOf" srcId="{08A0D26D-A4F3-40BE-8777-5BE8D8156D0F}" destId="{558B11BD-6E29-4A78-8A41-AFF82B223618}" srcOrd="0" destOrd="0" presId="urn:microsoft.com/office/officeart/2005/8/layout/lProcess2"/>
    <dgm:cxn modelId="{47E687AB-96F9-4862-B4C7-8E931BE24498}" type="presParOf" srcId="{558B11BD-6E29-4A78-8A41-AFF82B223618}" destId="{5C659118-65A0-44B2-810F-DF1AC292E7BC}" srcOrd="0" destOrd="0" presId="urn:microsoft.com/office/officeart/2005/8/layout/lProcess2"/>
    <dgm:cxn modelId="{F3D2B3C8-CB7C-4FAB-99AD-629B1E45254E}" type="presParOf" srcId="{558B11BD-6E29-4A78-8A41-AFF82B223618}" destId="{0335A08D-6676-47AD-B4AC-BDA6074B3ABB}" srcOrd="1" destOrd="0" presId="urn:microsoft.com/office/officeart/2005/8/layout/lProcess2"/>
    <dgm:cxn modelId="{01F47227-54BE-4E4C-8700-6CCBC90B1868}" type="presParOf" srcId="{558B11BD-6E29-4A78-8A41-AFF82B223618}" destId="{6CA604AB-077D-400F-A678-3A0FECF0762D}" srcOrd="2" destOrd="0" presId="urn:microsoft.com/office/officeart/2005/8/layout/lProcess2"/>
    <dgm:cxn modelId="{301B60BB-3C90-4FFA-BD1D-389047CA992B}" type="presParOf" srcId="{25BEF9B1-8695-4981-AF3E-80525FF1D0A0}" destId="{92075A81-E972-4C7B-B054-C1424A8CB266}" srcOrd="1" destOrd="0" presId="urn:microsoft.com/office/officeart/2005/8/layout/lProcess2"/>
    <dgm:cxn modelId="{A3BDE7DE-C3D0-41C8-8B22-C3D990C999C8}" type="presParOf" srcId="{25BEF9B1-8695-4981-AF3E-80525FF1D0A0}" destId="{326BC8B8-C253-4F34-B6D9-8921CC87F63C}" srcOrd="2" destOrd="0" presId="urn:microsoft.com/office/officeart/2005/8/layout/lProcess2"/>
    <dgm:cxn modelId="{E2B52459-A8A2-464D-BDD9-5D1F31CDAB68}" type="presParOf" srcId="{326BC8B8-C253-4F34-B6D9-8921CC87F63C}" destId="{FA97529E-A5C6-49FD-B48C-C9961622C015}" srcOrd="0" destOrd="0" presId="urn:microsoft.com/office/officeart/2005/8/layout/lProcess2"/>
    <dgm:cxn modelId="{E2157818-A7E7-4F4B-B7F5-9325CD6CB6CC}" type="presParOf" srcId="{326BC8B8-C253-4F34-B6D9-8921CC87F63C}" destId="{B73E5A31-B7A8-4B1C-8F39-FAC21CADC8B2}" srcOrd="1" destOrd="0" presId="urn:microsoft.com/office/officeart/2005/8/layout/lProcess2"/>
    <dgm:cxn modelId="{CF499BD8-2CB3-4354-9351-B1D324C103FC}" type="presParOf" srcId="{326BC8B8-C253-4F34-B6D9-8921CC87F63C}" destId="{79681598-46D2-4837-A0F7-0391F2077DDA}" srcOrd="2" destOrd="0" presId="urn:microsoft.com/office/officeart/2005/8/layout/lProcess2"/>
    <dgm:cxn modelId="{AA0F19B5-74F9-4B37-A04B-DFB3F2647F43}" type="presParOf" srcId="{79681598-46D2-4837-A0F7-0391F2077DDA}" destId="{C9D62754-FBBE-45D2-A5E3-5CA202AB2EBA}" srcOrd="0" destOrd="0" presId="urn:microsoft.com/office/officeart/2005/8/layout/lProcess2"/>
    <dgm:cxn modelId="{5EBE9A21-C795-47AB-9113-3F007E810855}" type="presParOf" srcId="{C9D62754-FBBE-45D2-A5E3-5CA202AB2EBA}" destId="{12CBECE2-DDA0-4A83-9150-5A7C989A1DB0}" srcOrd="0" destOrd="0" presId="urn:microsoft.com/office/officeart/2005/8/layout/lProcess2"/>
    <dgm:cxn modelId="{35CE7DF6-E28C-459E-8C78-88D44142B42C}" type="presParOf" srcId="{C9D62754-FBBE-45D2-A5E3-5CA202AB2EBA}" destId="{3DA5D132-40EF-4452-A496-016A4009DF50}" srcOrd="1" destOrd="0" presId="urn:microsoft.com/office/officeart/2005/8/layout/lProcess2"/>
    <dgm:cxn modelId="{C850EF4D-9B99-4F40-9630-41930AFE85D4}" type="presParOf" srcId="{C9D62754-FBBE-45D2-A5E3-5CA202AB2EBA}" destId="{DCB879E6-641F-472F-89F5-692DB436DF40}" srcOrd="2" destOrd="0" presId="urn:microsoft.com/office/officeart/2005/8/layout/lProcess2"/>
    <dgm:cxn modelId="{E44AD288-33C1-46C5-9963-906091EFE009}" type="presParOf" srcId="{25BEF9B1-8695-4981-AF3E-80525FF1D0A0}" destId="{76C56248-E304-47B5-9FFD-865C76DE522B}" srcOrd="3" destOrd="0" presId="urn:microsoft.com/office/officeart/2005/8/layout/lProcess2"/>
    <dgm:cxn modelId="{1DE1B870-C328-44A8-9A9F-7BEA8C93E6A4}" type="presParOf" srcId="{25BEF9B1-8695-4981-AF3E-80525FF1D0A0}" destId="{DFCAF1BE-D8E6-493A-84A8-2F282B120F3D}" srcOrd="4" destOrd="0" presId="urn:microsoft.com/office/officeart/2005/8/layout/lProcess2"/>
    <dgm:cxn modelId="{9BF706F6-57FD-4FFA-9F87-82F3DA81E65C}" type="presParOf" srcId="{DFCAF1BE-D8E6-493A-84A8-2F282B120F3D}" destId="{45100618-78D6-4217-AD00-2DDA690DAAC4}" srcOrd="0" destOrd="0" presId="urn:microsoft.com/office/officeart/2005/8/layout/lProcess2"/>
    <dgm:cxn modelId="{6C2694E8-6957-43D0-932B-1D25F62C9B56}" type="presParOf" srcId="{DFCAF1BE-D8E6-493A-84A8-2F282B120F3D}" destId="{25EAA094-EEF0-4963-883A-2F5963E8997D}" srcOrd="1" destOrd="0" presId="urn:microsoft.com/office/officeart/2005/8/layout/lProcess2"/>
    <dgm:cxn modelId="{2323ACA3-4FC1-4C56-A2E6-165304D2720A}" type="presParOf" srcId="{DFCAF1BE-D8E6-493A-84A8-2F282B120F3D}" destId="{45DB6785-5AD5-49A2-A878-7117D6AC6E59}" srcOrd="2" destOrd="0" presId="urn:microsoft.com/office/officeart/2005/8/layout/lProcess2"/>
    <dgm:cxn modelId="{67CEE003-86E0-427B-A2B0-4C94ECE2C50B}" type="presParOf" srcId="{45DB6785-5AD5-49A2-A878-7117D6AC6E59}" destId="{27E1E0D3-9946-4115-8F64-5D3CC672EBDE}" srcOrd="0" destOrd="0" presId="urn:microsoft.com/office/officeart/2005/8/layout/lProcess2"/>
    <dgm:cxn modelId="{3A184909-7694-4985-A452-BFBAB4AA3D47}" type="presParOf" srcId="{27E1E0D3-9946-4115-8F64-5D3CC672EBDE}" destId="{14E9689C-E114-4E59-928F-5CBC6600B692}" srcOrd="0" destOrd="0" presId="urn:microsoft.com/office/officeart/2005/8/layout/lProcess2"/>
    <dgm:cxn modelId="{1941743A-0E80-451A-9016-0A7AB9FE4D8C}" type="presParOf" srcId="{27E1E0D3-9946-4115-8F64-5D3CC672EBDE}" destId="{CEBF92FA-8FE9-42EB-9EDC-FC6CC9FEBA65}" srcOrd="1" destOrd="0" presId="urn:microsoft.com/office/officeart/2005/8/layout/lProcess2"/>
    <dgm:cxn modelId="{95774269-1409-4D7B-BAE2-7ACB56354ECD}" type="presParOf" srcId="{27E1E0D3-9946-4115-8F64-5D3CC672EBDE}" destId="{FB6B3485-4CBD-4509-BF3E-A0A04E930DB1}" srcOrd="2" destOrd="0" presId="urn:microsoft.com/office/officeart/2005/8/layout/lProcess2"/>
    <dgm:cxn modelId="{0BC81569-8B98-42A3-9A66-6287C2F9D47F}" type="presParOf" srcId="{27E1E0D3-9946-4115-8F64-5D3CC672EBDE}" destId="{048A7133-C6B7-4F69-B847-3E5C47AD0542}" srcOrd="3" destOrd="0" presId="urn:microsoft.com/office/officeart/2005/8/layout/lProcess2"/>
    <dgm:cxn modelId="{952DAEEE-7F6A-445B-8573-508CBEFF8455}" type="presParOf" srcId="{27E1E0D3-9946-4115-8F64-5D3CC672EBDE}" destId="{42752089-D440-457D-953F-4F0ACA674672}" srcOrd="4" destOrd="0" presId="urn:microsoft.com/office/officeart/2005/8/layout/lProcess2"/>
    <dgm:cxn modelId="{9C3905FA-5E06-4205-97C8-D10873CA7EA4}" type="presParOf" srcId="{25BEF9B1-8695-4981-AF3E-80525FF1D0A0}" destId="{ACD34268-E30D-46E4-9BC9-E0211B8C51AE}" srcOrd="5" destOrd="0" presId="urn:microsoft.com/office/officeart/2005/8/layout/lProcess2"/>
    <dgm:cxn modelId="{D52840BB-2956-40F6-B654-822886F85455}" type="presParOf" srcId="{25BEF9B1-8695-4981-AF3E-80525FF1D0A0}" destId="{DCFBFCBD-A0DB-43DE-8FE3-EEB98AD2BEDE}" srcOrd="6" destOrd="0" presId="urn:microsoft.com/office/officeart/2005/8/layout/lProcess2"/>
    <dgm:cxn modelId="{22BCC43D-C7A6-4620-9327-32C8032514FC}" type="presParOf" srcId="{DCFBFCBD-A0DB-43DE-8FE3-EEB98AD2BEDE}" destId="{E167FF6C-4BA8-46A4-9ABF-B8044077E622}" srcOrd="0" destOrd="0" presId="urn:microsoft.com/office/officeart/2005/8/layout/lProcess2"/>
    <dgm:cxn modelId="{83962A34-E69D-438A-B9ED-3AD761EDCB21}" type="presParOf" srcId="{DCFBFCBD-A0DB-43DE-8FE3-EEB98AD2BEDE}" destId="{3EFA2C89-508F-4A90-A7DF-AC51D5900B36}" srcOrd="1" destOrd="0" presId="urn:microsoft.com/office/officeart/2005/8/layout/lProcess2"/>
    <dgm:cxn modelId="{C793843E-D7A2-42E2-B1CE-C674DF8BAA5B}" type="presParOf" srcId="{DCFBFCBD-A0DB-43DE-8FE3-EEB98AD2BEDE}" destId="{4441BA28-B671-435C-B909-1BB4D13D8D78}" srcOrd="2" destOrd="0" presId="urn:microsoft.com/office/officeart/2005/8/layout/lProcess2"/>
    <dgm:cxn modelId="{DCC85242-8FAB-4F0A-9FB4-FF157834AC27}" type="presParOf" srcId="{4441BA28-B671-435C-B909-1BB4D13D8D78}" destId="{01C39CF5-CBBB-479F-9C91-4866A261B787}" srcOrd="0" destOrd="0" presId="urn:microsoft.com/office/officeart/2005/8/layout/lProcess2"/>
    <dgm:cxn modelId="{70493525-5643-4C0F-B1F1-64B02BF697C3}" type="presParOf" srcId="{01C39CF5-CBBB-479F-9C91-4866A261B787}" destId="{4A68E49E-E19B-401F-B71E-72E9AFBE9416}" srcOrd="0" destOrd="0" presId="urn:microsoft.com/office/officeart/2005/8/layout/lProcess2"/>
    <dgm:cxn modelId="{3B4B3F71-FAF5-4DDD-934E-098707EE4C55}" type="presParOf" srcId="{01C39CF5-CBBB-479F-9C91-4866A261B787}" destId="{74273AE7-D6FD-4392-A700-8D092CBC08BF}" srcOrd="1" destOrd="0" presId="urn:microsoft.com/office/officeart/2005/8/layout/lProcess2"/>
    <dgm:cxn modelId="{53954DD1-56E9-41FC-AFAA-C88A560EEE18}" type="presParOf" srcId="{01C39CF5-CBBB-479F-9C91-4866A261B787}" destId="{41B9E693-FDAD-4DDE-904F-6376B2E0BD20}" srcOrd="2" destOrd="0" presId="urn:microsoft.com/office/officeart/2005/8/layout/lProcess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692B869-88DF-4EAB-A5E8-2ABB88F8466A}">
      <dsp:nvSpPr>
        <dsp:cNvPr id="0" name=""/>
        <dsp:cNvSpPr/>
      </dsp:nvSpPr>
      <dsp:spPr>
        <a:xfrm>
          <a:off x="1381" y="0"/>
          <a:ext cx="1355916" cy="1743452"/>
        </a:xfrm>
        <a:prstGeom prst="roundRect">
          <a:avLst>
            <a:gd name="adj" fmla="val 10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en-GB" sz="2400" kern="1200">
              <a:latin typeface="Calibri"/>
              <a:ea typeface="+mn-ea"/>
              <a:cs typeface="+mn-cs"/>
            </a:rPr>
            <a:t>Develop</a:t>
          </a:r>
        </a:p>
      </dsp:txBody>
      <dsp:txXfrm>
        <a:off x="1381" y="0"/>
        <a:ext cx="1355916" cy="523035"/>
      </dsp:txXfrm>
    </dsp:sp>
    <dsp:sp modelId="{5C659118-65A0-44B2-810F-DF1AC292E7BC}">
      <dsp:nvSpPr>
        <dsp:cNvPr id="0" name=""/>
        <dsp:cNvSpPr/>
      </dsp:nvSpPr>
      <dsp:spPr>
        <a:xfrm>
          <a:off x="136973" y="523546"/>
          <a:ext cx="1084733" cy="525674"/>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lvl="0" algn="ctr" defTabSz="444500">
            <a:lnSpc>
              <a:spcPct val="90000"/>
            </a:lnSpc>
            <a:spcBef>
              <a:spcPct val="0"/>
            </a:spcBef>
            <a:spcAft>
              <a:spcPct val="35000"/>
            </a:spcAft>
          </a:pPr>
          <a:r>
            <a:rPr lang="en-GB" sz="1000" kern="1200">
              <a:latin typeface="Calibri"/>
              <a:ea typeface="+mn-ea"/>
              <a:cs typeface="+mn-cs"/>
            </a:rPr>
            <a:t>Training </a:t>
          </a:r>
        </a:p>
        <a:p>
          <a:pPr lvl="0" algn="ctr" defTabSz="444500">
            <a:lnSpc>
              <a:spcPct val="90000"/>
            </a:lnSpc>
            <a:spcBef>
              <a:spcPct val="0"/>
            </a:spcBef>
            <a:spcAft>
              <a:spcPct val="35000"/>
            </a:spcAft>
          </a:pPr>
          <a:r>
            <a:rPr lang="en-GB" sz="1000" kern="1200">
              <a:latin typeface="Calibri"/>
              <a:ea typeface="+mn-ea"/>
              <a:cs typeface="+mn-cs"/>
            </a:rPr>
            <a:t>pathways</a:t>
          </a:r>
        </a:p>
      </dsp:txBody>
      <dsp:txXfrm>
        <a:off x="152369" y="538942"/>
        <a:ext cx="1053941" cy="494882"/>
      </dsp:txXfrm>
    </dsp:sp>
    <dsp:sp modelId="{6CA604AB-077D-400F-A678-3A0FECF0762D}">
      <dsp:nvSpPr>
        <dsp:cNvPr id="0" name=""/>
        <dsp:cNvSpPr/>
      </dsp:nvSpPr>
      <dsp:spPr>
        <a:xfrm>
          <a:off x="136973" y="1130094"/>
          <a:ext cx="1084733" cy="525674"/>
        </a:xfrm>
        <a:prstGeom prst="roundRect">
          <a:avLst>
            <a:gd name="adj" fmla="val 10000"/>
          </a:avLst>
        </a:prstGeom>
        <a:solidFill>
          <a:schemeClr val="accent2">
            <a:hueOff val="585190"/>
            <a:satOff val="-730"/>
            <a:lumOff val="17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lvl="0" algn="ctr" defTabSz="444500">
            <a:lnSpc>
              <a:spcPct val="90000"/>
            </a:lnSpc>
            <a:spcBef>
              <a:spcPct val="0"/>
            </a:spcBef>
            <a:spcAft>
              <a:spcPct val="35000"/>
            </a:spcAft>
          </a:pPr>
          <a:r>
            <a:rPr lang="en-GB" sz="1000" kern="1200">
              <a:latin typeface="Calibri"/>
              <a:ea typeface="+mn-ea"/>
              <a:cs typeface="+mn-cs"/>
            </a:rPr>
            <a:t>Training calendar - partners and upload</a:t>
          </a:r>
        </a:p>
      </dsp:txBody>
      <dsp:txXfrm>
        <a:off x="152369" y="1145490"/>
        <a:ext cx="1053941" cy="494882"/>
      </dsp:txXfrm>
    </dsp:sp>
    <dsp:sp modelId="{FA97529E-A5C6-49FD-B48C-C9961622C015}">
      <dsp:nvSpPr>
        <dsp:cNvPr id="0" name=""/>
        <dsp:cNvSpPr/>
      </dsp:nvSpPr>
      <dsp:spPr>
        <a:xfrm>
          <a:off x="1458991" y="0"/>
          <a:ext cx="1355916" cy="1743452"/>
        </a:xfrm>
        <a:prstGeom prst="roundRect">
          <a:avLst>
            <a:gd name="adj" fmla="val 10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en-GB" sz="2400" kern="1200">
              <a:latin typeface="Calibri"/>
              <a:ea typeface="+mn-ea"/>
              <a:cs typeface="+mn-cs"/>
            </a:rPr>
            <a:t>Know </a:t>
          </a:r>
        </a:p>
      </dsp:txBody>
      <dsp:txXfrm>
        <a:off x="1458991" y="0"/>
        <a:ext cx="1355916" cy="523035"/>
      </dsp:txXfrm>
    </dsp:sp>
    <dsp:sp modelId="{12CBECE2-DDA0-4A83-9150-5A7C989A1DB0}">
      <dsp:nvSpPr>
        <dsp:cNvPr id="0" name=""/>
        <dsp:cNvSpPr/>
      </dsp:nvSpPr>
      <dsp:spPr>
        <a:xfrm>
          <a:off x="1594583" y="523546"/>
          <a:ext cx="1084733" cy="525674"/>
        </a:xfrm>
        <a:prstGeom prst="roundRect">
          <a:avLst>
            <a:gd name="adj" fmla="val 10000"/>
          </a:avLst>
        </a:prstGeom>
        <a:solidFill>
          <a:schemeClr val="accent2">
            <a:hueOff val="1170380"/>
            <a:satOff val="-1460"/>
            <a:lumOff val="34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lvl="0" algn="ctr" defTabSz="444500">
            <a:lnSpc>
              <a:spcPct val="90000"/>
            </a:lnSpc>
            <a:spcBef>
              <a:spcPct val="0"/>
            </a:spcBef>
            <a:spcAft>
              <a:spcPct val="35000"/>
            </a:spcAft>
          </a:pPr>
          <a:r>
            <a:rPr lang="en-GB" sz="1000" kern="1200">
              <a:latin typeface="Calibri"/>
              <a:ea typeface="+mn-ea"/>
              <a:cs typeface="+mn-cs"/>
            </a:rPr>
            <a:t>What works  </a:t>
          </a:r>
        </a:p>
        <a:p>
          <a:pPr lvl="0" algn="ctr" defTabSz="444500">
            <a:lnSpc>
              <a:spcPct val="90000"/>
            </a:lnSpc>
            <a:spcBef>
              <a:spcPct val="0"/>
            </a:spcBef>
            <a:spcAft>
              <a:spcPct val="35000"/>
            </a:spcAft>
          </a:pPr>
          <a:r>
            <a:rPr lang="en-GB" sz="1000" kern="1200">
              <a:latin typeface="Calibri"/>
              <a:ea typeface="+mn-ea"/>
              <a:cs typeface="+mn-cs"/>
            </a:rPr>
            <a:t>good practice </a:t>
          </a:r>
        </a:p>
      </dsp:txBody>
      <dsp:txXfrm>
        <a:off x="1609979" y="538942"/>
        <a:ext cx="1053941" cy="494882"/>
      </dsp:txXfrm>
    </dsp:sp>
    <dsp:sp modelId="{DCB879E6-641F-472F-89F5-692DB436DF40}">
      <dsp:nvSpPr>
        <dsp:cNvPr id="0" name=""/>
        <dsp:cNvSpPr/>
      </dsp:nvSpPr>
      <dsp:spPr>
        <a:xfrm>
          <a:off x="1594583" y="1130094"/>
          <a:ext cx="1084733" cy="525674"/>
        </a:xfrm>
        <a:prstGeom prst="roundRect">
          <a:avLst>
            <a:gd name="adj" fmla="val 10000"/>
          </a:avLst>
        </a:prstGeom>
        <a:solidFill>
          <a:schemeClr val="accent2">
            <a:hueOff val="1755570"/>
            <a:satOff val="-2190"/>
            <a:lumOff val="5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lvl="0" algn="ctr" defTabSz="444500">
            <a:lnSpc>
              <a:spcPct val="90000"/>
            </a:lnSpc>
            <a:spcBef>
              <a:spcPct val="0"/>
            </a:spcBef>
            <a:spcAft>
              <a:spcPct val="35000"/>
            </a:spcAft>
          </a:pPr>
          <a:r>
            <a:rPr lang="en-GB" sz="1000" kern="1200">
              <a:latin typeface="Calibri"/>
              <a:ea typeface="+mn-ea"/>
              <a:cs typeface="+mn-cs"/>
            </a:rPr>
            <a:t>What works </a:t>
          </a:r>
        </a:p>
        <a:p>
          <a:pPr lvl="0" algn="ctr" defTabSz="444500">
            <a:lnSpc>
              <a:spcPct val="90000"/>
            </a:lnSpc>
            <a:spcBef>
              <a:spcPct val="0"/>
            </a:spcBef>
            <a:spcAft>
              <a:spcPct val="35000"/>
            </a:spcAft>
          </a:pPr>
          <a:r>
            <a:rPr lang="en-GB" sz="1000" kern="1200">
              <a:latin typeface="Calibri"/>
              <a:ea typeface="+mn-ea"/>
              <a:cs typeface="+mn-cs"/>
            </a:rPr>
            <a:t> technology </a:t>
          </a:r>
        </a:p>
      </dsp:txBody>
      <dsp:txXfrm>
        <a:off x="1609979" y="1145490"/>
        <a:ext cx="1053941" cy="494882"/>
      </dsp:txXfrm>
    </dsp:sp>
    <dsp:sp modelId="{45100618-78D6-4217-AD00-2DDA690DAAC4}">
      <dsp:nvSpPr>
        <dsp:cNvPr id="0" name=""/>
        <dsp:cNvSpPr/>
      </dsp:nvSpPr>
      <dsp:spPr>
        <a:xfrm>
          <a:off x="2916601" y="0"/>
          <a:ext cx="1355916" cy="1743452"/>
        </a:xfrm>
        <a:prstGeom prst="roundRect">
          <a:avLst>
            <a:gd name="adj" fmla="val 10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en-GB" sz="2400" kern="1200">
              <a:latin typeface="Calibri"/>
              <a:ea typeface="+mn-ea"/>
              <a:cs typeface="+mn-cs"/>
            </a:rPr>
            <a:t>Share</a:t>
          </a:r>
        </a:p>
      </dsp:txBody>
      <dsp:txXfrm>
        <a:off x="2916601" y="0"/>
        <a:ext cx="1355916" cy="523035"/>
      </dsp:txXfrm>
    </dsp:sp>
    <dsp:sp modelId="{14E9689C-E114-4E59-928F-5CBC6600B692}">
      <dsp:nvSpPr>
        <dsp:cNvPr id="0" name=""/>
        <dsp:cNvSpPr/>
      </dsp:nvSpPr>
      <dsp:spPr>
        <a:xfrm>
          <a:off x="3052193" y="523184"/>
          <a:ext cx="1084733" cy="342518"/>
        </a:xfrm>
        <a:prstGeom prst="roundRect">
          <a:avLst>
            <a:gd name="adj" fmla="val 10000"/>
          </a:avLst>
        </a:prstGeom>
        <a:solidFill>
          <a:schemeClr val="accent2">
            <a:hueOff val="2340759"/>
            <a:satOff val="-2919"/>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lvl="0" algn="ctr" defTabSz="444500">
            <a:lnSpc>
              <a:spcPct val="90000"/>
            </a:lnSpc>
            <a:spcBef>
              <a:spcPct val="0"/>
            </a:spcBef>
            <a:spcAft>
              <a:spcPct val="35000"/>
            </a:spcAft>
          </a:pPr>
          <a:r>
            <a:rPr lang="en-GB" sz="1000" kern="1200">
              <a:latin typeface="Calibri"/>
              <a:ea typeface="+mn-ea"/>
              <a:cs typeface="+mn-cs"/>
            </a:rPr>
            <a:t>Resources - NatSIP </a:t>
          </a:r>
        </a:p>
      </dsp:txBody>
      <dsp:txXfrm>
        <a:off x="3062225" y="533216"/>
        <a:ext cx="1064669" cy="322454"/>
      </dsp:txXfrm>
    </dsp:sp>
    <dsp:sp modelId="{FB6B3485-4CBD-4509-BF3E-A0A04E930DB1}">
      <dsp:nvSpPr>
        <dsp:cNvPr id="0" name=""/>
        <dsp:cNvSpPr/>
      </dsp:nvSpPr>
      <dsp:spPr>
        <a:xfrm>
          <a:off x="3052193" y="918398"/>
          <a:ext cx="1084733" cy="342518"/>
        </a:xfrm>
        <a:prstGeom prst="roundRect">
          <a:avLst>
            <a:gd name="adj" fmla="val 10000"/>
          </a:avLst>
        </a:prstGeom>
        <a:solidFill>
          <a:schemeClr val="accent2">
            <a:hueOff val="2925949"/>
            <a:satOff val="-3649"/>
            <a:lumOff val="85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lvl="0" algn="ctr" defTabSz="444500">
            <a:lnSpc>
              <a:spcPct val="90000"/>
            </a:lnSpc>
            <a:spcBef>
              <a:spcPct val="0"/>
            </a:spcBef>
            <a:spcAft>
              <a:spcPct val="35000"/>
            </a:spcAft>
          </a:pPr>
          <a:r>
            <a:rPr lang="en-GB" sz="1000" kern="1200">
              <a:latin typeface="Calibri"/>
              <a:ea typeface="+mn-ea"/>
              <a:cs typeface="+mn-cs"/>
            </a:rPr>
            <a:t>Resources - links to sector partners </a:t>
          </a:r>
        </a:p>
      </dsp:txBody>
      <dsp:txXfrm>
        <a:off x="3062225" y="928430"/>
        <a:ext cx="1064669" cy="322454"/>
      </dsp:txXfrm>
    </dsp:sp>
    <dsp:sp modelId="{42752089-D440-457D-953F-4F0ACA674672}">
      <dsp:nvSpPr>
        <dsp:cNvPr id="0" name=""/>
        <dsp:cNvSpPr/>
      </dsp:nvSpPr>
      <dsp:spPr>
        <a:xfrm>
          <a:off x="3052193" y="1313611"/>
          <a:ext cx="1084733" cy="342518"/>
        </a:xfrm>
        <a:prstGeom prst="roundRect">
          <a:avLst>
            <a:gd name="adj" fmla="val 10000"/>
          </a:avLst>
        </a:prstGeom>
        <a:solidFill>
          <a:schemeClr val="accent2">
            <a:hueOff val="3511139"/>
            <a:satOff val="-4379"/>
            <a:lumOff val="10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lvl="0" algn="ctr" defTabSz="444500">
            <a:lnSpc>
              <a:spcPct val="90000"/>
            </a:lnSpc>
            <a:spcBef>
              <a:spcPct val="0"/>
            </a:spcBef>
            <a:spcAft>
              <a:spcPct val="35000"/>
            </a:spcAft>
          </a:pPr>
          <a:r>
            <a:rPr lang="en-GB" sz="1000" kern="1200">
              <a:latin typeface="Calibri"/>
              <a:ea typeface="+mn-ea"/>
              <a:cs typeface="+mn-cs"/>
            </a:rPr>
            <a:t>Resouces - upload and share </a:t>
          </a:r>
        </a:p>
      </dsp:txBody>
      <dsp:txXfrm>
        <a:off x="3062225" y="1323643"/>
        <a:ext cx="1064669" cy="322454"/>
      </dsp:txXfrm>
    </dsp:sp>
    <dsp:sp modelId="{E167FF6C-4BA8-46A4-9ABF-B8044077E622}">
      <dsp:nvSpPr>
        <dsp:cNvPr id="0" name=""/>
        <dsp:cNvSpPr/>
      </dsp:nvSpPr>
      <dsp:spPr>
        <a:xfrm>
          <a:off x="4374211" y="0"/>
          <a:ext cx="1355916" cy="1743452"/>
        </a:xfrm>
        <a:prstGeom prst="roundRect">
          <a:avLst>
            <a:gd name="adj" fmla="val 10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en-GB" sz="2400" kern="1200">
              <a:latin typeface="Calibri"/>
              <a:ea typeface="+mn-ea"/>
              <a:cs typeface="+mn-cs"/>
            </a:rPr>
            <a:t>Interact</a:t>
          </a:r>
        </a:p>
      </dsp:txBody>
      <dsp:txXfrm>
        <a:off x="4374211" y="0"/>
        <a:ext cx="1355916" cy="523035"/>
      </dsp:txXfrm>
    </dsp:sp>
    <dsp:sp modelId="{4A68E49E-E19B-401F-B71E-72E9AFBE9416}">
      <dsp:nvSpPr>
        <dsp:cNvPr id="0" name=""/>
        <dsp:cNvSpPr/>
      </dsp:nvSpPr>
      <dsp:spPr>
        <a:xfrm>
          <a:off x="4509803" y="523546"/>
          <a:ext cx="1084733" cy="525674"/>
        </a:xfrm>
        <a:prstGeom prst="roundRect">
          <a:avLst>
            <a:gd name="adj" fmla="val 10000"/>
          </a:avLst>
        </a:prstGeom>
        <a:solidFill>
          <a:schemeClr val="accent2">
            <a:hueOff val="4096329"/>
            <a:satOff val="-5109"/>
            <a:lumOff val="120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lvl="0" algn="ctr" defTabSz="444500">
            <a:lnSpc>
              <a:spcPct val="90000"/>
            </a:lnSpc>
            <a:spcBef>
              <a:spcPct val="0"/>
            </a:spcBef>
            <a:spcAft>
              <a:spcPct val="35000"/>
            </a:spcAft>
          </a:pPr>
          <a:r>
            <a:rPr lang="en-GB" sz="1000" kern="1200">
              <a:latin typeface="Calibri"/>
              <a:ea typeface="+mn-ea"/>
              <a:cs typeface="+mn-cs"/>
            </a:rPr>
            <a:t>Discussion forums</a:t>
          </a:r>
        </a:p>
      </dsp:txBody>
      <dsp:txXfrm>
        <a:off x="4525199" y="538942"/>
        <a:ext cx="1053941" cy="494882"/>
      </dsp:txXfrm>
    </dsp:sp>
    <dsp:sp modelId="{41B9E693-FDAD-4DDE-904F-6376B2E0BD20}">
      <dsp:nvSpPr>
        <dsp:cNvPr id="0" name=""/>
        <dsp:cNvSpPr/>
      </dsp:nvSpPr>
      <dsp:spPr>
        <a:xfrm>
          <a:off x="4509803" y="1130094"/>
          <a:ext cx="1084733" cy="525674"/>
        </a:xfrm>
        <a:prstGeom prst="roundRect">
          <a:avLst>
            <a:gd name="adj" fmla="val 10000"/>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lvl="0" algn="ctr" defTabSz="444500">
            <a:lnSpc>
              <a:spcPct val="90000"/>
            </a:lnSpc>
            <a:spcBef>
              <a:spcPct val="0"/>
            </a:spcBef>
            <a:spcAft>
              <a:spcPct val="35000"/>
            </a:spcAft>
          </a:pPr>
          <a:r>
            <a:rPr lang="en-GB" sz="1000" kern="1200">
              <a:latin typeface="Calibri"/>
              <a:ea typeface="+mn-ea"/>
              <a:cs typeface="+mn-cs"/>
            </a:rPr>
            <a:t>Social media news </a:t>
          </a:r>
        </a:p>
      </dsp:txBody>
      <dsp:txXfrm>
        <a:off x="4525199" y="1145490"/>
        <a:ext cx="1053941" cy="494882"/>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328</Words>
  <Characters>1876</Characters>
  <Application>Microsoft Office Word</Application>
  <DocSecurity>0</DocSecurity>
  <Lines>15</Lines>
  <Paragraphs>4</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/The Sensory Learning Hub – An invitation</vt:lpstr>
    </vt:vector>
  </TitlesOfParts>
  <Company>Sense</Company>
  <LinksUpToDate>false</LinksUpToDate>
  <CharactersWithSpaces>2200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Rose</dc:creator>
  <cp:lastModifiedBy>Steve Rose</cp:lastModifiedBy>
  <cp:revision>2</cp:revision>
  <dcterms:created xsi:type="dcterms:W3CDTF">2016-10-17T16:12:00Z</dcterms:created>
  <dcterms:modified xsi:type="dcterms:W3CDTF">2016-10-17T16:21:00Z</dcterms:modified>
</cp:coreProperties>
</file>