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ED2" w:rsidRPr="00673F73" w:rsidRDefault="0007428F">
      <w:pPr>
        <w:rPr>
          <w:b/>
        </w:rPr>
      </w:pPr>
      <w:r>
        <w:rPr>
          <w:b/>
        </w:rPr>
        <w:t xml:space="preserve">Where are we </w:t>
      </w:r>
      <w:r w:rsidR="00772ED2" w:rsidRPr="00673F73">
        <w:rPr>
          <w:b/>
        </w:rPr>
        <w:t>now on D</w:t>
      </w:r>
      <w:r>
        <w:rPr>
          <w:b/>
        </w:rPr>
        <w:t>isability Equality in Schools i</w:t>
      </w:r>
      <w:r w:rsidR="00772ED2" w:rsidRPr="00673F73">
        <w:rPr>
          <w:b/>
        </w:rPr>
        <w:t>n the wake of the 2010 Equalities Act?</w:t>
      </w:r>
    </w:p>
    <w:p w:rsidR="00772ED2" w:rsidRPr="00673F73" w:rsidRDefault="00772ED2">
      <w:pPr>
        <w:rPr>
          <w:b/>
        </w:rPr>
      </w:pPr>
      <w:r w:rsidRPr="00673F73">
        <w:rPr>
          <w:b/>
        </w:rPr>
        <w:t xml:space="preserve">Richard Rieser   World of Inclusion  </w:t>
      </w:r>
      <w:hyperlink r:id="rId8" w:history="1">
        <w:r w:rsidRPr="00673F73">
          <w:rPr>
            <w:rStyle w:val="Hyperlink"/>
            <w:b/>
          </w:rPr>
          <w:t>rlrieser@gmail.com</w:t>
        </w:r>
      </w:hyperlink>
      <w:r w:rsidRPr="00673F73">
        <w:rPr>
          <w:b/>
        </w:rPr>
        <w:t xml:space="preserve"> </w:t>
      </w:r>
      <w:r w:rsidR="004813E4">
        <w:rPr>
          <w:b/>
        </w:rPr>
        <w:t xml:space="preserve"> web  </w:t>
      </w:r>
      <w:hyperlink r:id="rId9" w:history="1">
        <w:r w:rsidR="004813E4" w:rsidRPr="007215A8">
          <w:rPr>
            <w:rStyle w:val="Hyperlink"/>
            <w:b/>
          </w:rPr>
          <w:t>www.worldofinclusion.com</w:t>
        </w:r>
      </w:hyperlink>
      <w:r w:rsidR="004813E4">
        <w:rPr>
          <w:b/>
        </w:rPr>
        <w:t xml:space="preserve"> </w:t>
      </w:r>
    </w:p>
    <w:p w:rsidR="00772ED2" w:rsidRDefault="00772ED2">
      <w:r>
        <w:t>There are some gains and considerable losses to disability equality under the Single Equality Act. To use the law most effectively to promote disability equality in schools, advocates and professionals will need to spend time absorbing new measures and developing implementation strategies to ensure that disability equality remains high on the agenda and that disabled children, students, staff, parents and the disabled public continue to benefit.</w:t>
      </w:r>
    </w:p>
    <w:p w:rsidR="00251F62" w:rsidRDefault="0005211D">
      <w:r w:rsidRPr="0005211D">
        <w:rPr>
          <w:b/>
        </w:rPr>
        <w:t>Definition and numbers.</w:t>
      </w:r>
      <w:r>
        <w:t xml:space="preserve"> </w:t>
      </w:r>
      <w:r w:rsidR="006542FF">
        <w:t xml:space="preserve">The definition of who counts as disabled under the Equalities Act is </w:t>
      </w:r>
      <w:r w:rsidR="00F44395">
        <w:t xml:space="preserve">simplified but </w:t>
      </w:r>
      <w:r w:rsidR="006542FF">
        <w:t>largely the same as under the Disability Discrimination Act.</w:t>
      </w:r>
      <w:r w:rsidR="00251F62">
        <w:t xml:space="preserve"> A</w:t>
      </w:r>
      <w:r w:rsidR="00251F62" w:rsidRPr="00251F62">
        <w:t xml:space="preserve"> person has a disability if they have a physical or mental impairment which has a long term and substantial adverse effect on their ability to carry out normal day-to-day activities</w:t>
      </w:r>
      <w:r w:rsidR="00251F62">
        <w:t>. In the definition it is important to note that this is a low threshold as it is about protection from discrimination and ‘substantial’ is more than minor or trivial.</w:t>
      </w:r>
      <w:r w:rsidR="00797E2C">
        <w:t xml:space="preserve"> The list of eight impairment characteristics from the DDA, such as mobility or continence, is gone.</w:t>
      </w:r>
      <w:r w:rsidR="00251F62">
        <w:t xml:space="preserve"> We use different tighter definitions such as SEN School Action Plus or a Statement to allocate school based resources to disabled children. Normal day to day activities include all the things we normally expect children to do at school. For the purposes of the definition one needs to disregard the effects of medicines, aides and equipment.</w:t>
      </w:r>
      <w:r>
        <w:t xml:space="preserve"> This is a functional not a medical definition.(S6)</w:t>
      </w:r>
    </w:p>
    <w:p w:rsidR="00251F62" w:rsidRDefault="00251F62">
      <w:r>
        <w:t>This would mean all those on School Action Plus and those with a Statement of SEN are likely to come under this definition</w:t>
      </w:r>
      <w:r w:rsidR="00797E2C">
        <w:t xml:space="preserve"> as this is long term, more than 12 months and without this support they could not carry out normal day to day activities</w:t>
      </w:r>
      <w:r>
        <w:t xml:space="preserve">. A </w:t>
      </w:r>
      <w:r w:rsidR="000D5270">
        <w:t>subs</w:t>
      </w:r>
      <w:r>
        <w:t>tantial number of those on School Action would also count</w:t>
      </w:r>
      <w:r w:rsidR="00797E2C">
        <w:t>,</w:t>
      </w:r>
      <w:r>
        <w:t xml:space="preserve"> as would those with long term medical needs such as people with diabetes, asthma, epilepsy or ana</w:t>
      </w:r>
      <w:r w:rsidR="000D5270">
        <w:t>phylaxis</w:t>
      </w:r>
      <w:r w:rsidR="00797E2C">
        <w:t xml:space="preserve"> , but not hay fever</w:t>
      </w:r>
      <w:r w:rsidR="000D5270">
        <w:t xml:space="preserve">. Many of these are not identified as pupils with SEN. In addition pupils with mental health issues would often come under the definition. If we examine the data from the Pupil Annual School Survey in 2011 </w:t>
      </w:r>
      <w:r w:rsidR="00797E2C">
        <w:t xml:space="preserve">in </w:t>
      </w:r>
      <w:r w:rsidR="000D5270">
        <w:t>Figure 1 it is clear that the large</w:t>
      </w:r>
      <w:r w:rsidR="00797E2C">
        <w:t>st</w:t>
      </w:r>
      <w:r w:rsidR="000D5270">
        <w:t xml:space="preserve"> groups of pupils who would count as disabled do not have physical or sensory impairments as their main presenting condition.</w:t>
      </w:r>
      <w:r w:rsidR="00797E2C" w:rsidRPr="00797E2C">
        <w:t xml:space="preserve"> </w:t>
      </w:r>
      <w:r w:rsidR="00797E2C">
        <w:t>Physical and sensory Impairment and severe learning difficulty make up only 17% of those on School Action Plus or with a Statement. Yet this is the group most commonly thought of when disability is mentioned in school.</w:t>
      </w:r>
    </w:p>
    <w:p w:rsidR="00D62836" w:rsidRPr="00D62836" w:rsidRDefault="00D62836">
      <w:pPr>
        <w:rPr>
          <w:b/>
        </w:rPr>
      </w:pPr>
      <w:r w:rsidRPr="00D62836">
        <w:rPr>
          <w:b/>
        </w:rPr>
        <w:t>Figure 1  Pupil Level Annual School Census 2011 Impairment Type and School those with a Statement or School Action Plus</w:t>
      </w:r>
      <w:r w:rsidR="0007428F">
        <w:rPr>
          <w:b/>
        </w:rPr>
        <w:t xml:space="preserve"> in England.</w:t>
      </w:r>
    </w:p>
    <w:tbl>
      <w:tblPr>
        <w:tblStyle w:val="TableGrid"/>
        <w:tblW w:w="0" w:type="auto"/>
        <w:tblLook w:val="04A0"/>
      </w:tblPr>
      <w:tblGrid>
        <w:gridCol w:w="3085"/>
        <w:gridCol w:w="1701"/>
        <w:gridCol w:w="1622"/>
        <w:gridCol w:w="2137"/>
        <w:gridCol w:w="2137"/>
      </w:tblGrid>
      <w:tr w:rsidR="001458D2" w:rsidTr="00D62836">
        <w:tc>
          <w:tcPr>
            <w:tcW w:w="3085" w:type="dxa"/>
          </w:tcPr>
          <w:p w:rsidR="001458D2" w:rsidRDefault="001458D2">
            <w:r>
              <w:t>Type SEN</w:t>
            </w:r>
          </w:p>
        </w:tc>
        <w:tc>
          <w:tcPr>
            <w:tcW w:w="1701" w:type="dxa"/>
          </w:tcPr>
          <w:p w:rsidR="001458D2" w:rsidRDefault="001458D2">
            <w:r>
              <w:t>Primary</w:t>
            </w:r>
          </w:p>
        </w:tc>
        <w:tc>
          <w:tcPr>
            <w:tcW w:w="1622" w:type="dxa"/>
          </w:tcPr>
          <w:p w:rsidR="001458D2" w:rsidRDefault="001458D2">
            <w:r>
              <w:t>Secondary</w:t>
            </w:r>
          </w:p>
        </w:tc>
        <w:tc>
          <w:tcPr>
            <w:tcW w:w="2137" w:type="dxa"/>
          </w:tcPr>
          <w:p w:rsidR="001458D2" w:rsidRDefault="001458D2">
            <w:r>
              <w:t>Special M&amp;NM</w:t>
            </w:r>
          </w:p>
        </w:tc>
        <w:tc>
          <w:tcPr>
            <w:tcW w:w="2137" w:type="dxa"/>
          </w:tcPr>
          <w:p w:rsidR="001458D2" w:rsidRPr="00D62836" w:rsidRDefault="001458D2">
            <w:pPr>
              <w:rPr>
                <w:b/>
              </w:rPr>
            </w:pPr>
            <w:r w:rsidRPr="00D62836">
              <w:rPr>
                <w:b/>
              </w:rPr>
              <w:t>Total</w:t>
            </w:r>
          </w:p>
        </w:tc>
      </w:tr>
      <w:tr w:rsidR="001458D2" w:rsidTr="00D62836">
        <w:tc>
          <w:tcPr>
            <w:tcW w:w="3085" w:type="dxa"/>
          </w:tcPr>
          <w:p w:rsidR="001458D2" w:rsidRDefault="00D62836">
            <w:r>
              <w:t>Specific Learning Difficulty</w:t>
            </w:r>
          </w:p>
        </w:tc>
        <w:tc>
          <w:tcPr>
            <w:tcW w:w="1701" w:type="dxa"/>
          </w:tcPr>
          <w:p w:rsidR="001458D2" w:rsidRDefault="001458D2">
            <w:r>
              <w:t>32,655</w:t>
            </w:r>
          </w:p>
        </w:tc>
        <w:tc>
          <w:tcPr>
            <w:tcW w:w="1622" w:type="dxa"/>
          </w:tcPr>
          <w:p w:rsidR="001458D2" w:rsidRDefault="001458D2">
            <w:r>
              <w:t>44,370</w:t>
            </w:r>
          </w:p>
        </w:tc>
        <w:tc>
          <w:tcPr>
            <w:tcW w:w="2137" w:type="dxa"/>
          </w:tcPr>
          <w:p w:rsidR="001458D2" w:rsidRDefault="001458D2">
            <w:r>
              <w:t>1,110</w:t>
            </w:r>
          </w:p>
        </w:tc>
        <w:tc>
          <w:tcPr>
            <w:tcW w:w="2137" w:type="dxa"/>
          </w:tcPr>
          <w:p w:rsidR="001458D2" w:rsidRPr="00D62836" w:rsidRDefault="001458D2">
            <w:pPr>
              <w:rPr>
                <w:b/>
              </w:rPr>
            </w:pPr>
            <w:r w:rsidRPr="00D62836">
              <w:rPr>
                <w:b/>
              </w:rPr>
              <w:t>78,135</w:t>
            </w:r>
          </w:p>
        </w:tc>
      </w:tr>
      <w:tr w:rsidR="001458D2" w:rsidTr="00D62836">
        <w:tc>
          <w:tcPr>
            <w:tcW w:w="3085" w:type="dxa"/>
          </w:tcPr>
          <w:p w:rsidR="001458D2" w:rsidRDefault="001458D2">
            <w:r>
              <w:t>Moderate Learning Difficulty</w:t>
            </w:r>
          </w:p>
        </w:tc>
        <w:tc>
          <w:tcPr>
            <w:tcW w:w="1701" w:type="dxa"/>
          </w:tcPr>
          <w:p w:rsidR="001458D2" w:rsidRDefault="001458D2">
            <w:r>
              <w:t>77,625</w:t>
            </w:r>
          </w:p>
        </w:tc>
        <w:tc>
          <w:tcPr>
            <w:tcW w:w="1622" w:type="dxa"/>
          </w:tcPr>
          <w:p w:rsidR="001458D2" w:rsidRDefault="001458D2">
            <w:r>
              <w:t>64,920</w:t>
            </w:r>
          </w:p>
        </w:tc>
        <w:tc>
          <w:tcPr>
            <w:tcW w:w="2137" w:type="dxa"/>
          </w:tcPr>
          <w:p w:rsidR="001458D2" w:rsidRDefault="001458D2">
            <w:r>
              <w:t>18,250</w:t>
            </w:r>
          </w:p>
        </w:tc>
        <w:tc>
          <w:tcPr>
            <w:tcW w:w="2137" w:type="dxa"/>
          </w:tcPr>
          <w:p w:rsidR="001458D2" w:rsidRPr="00D62836" w:rsidRDefault="001458D2">
            <w:pPr>
              <w:rPr>
                <w:b/>
              </w:rPr>
            </w:pPr>
            <w:r w:rsidRPr="00D62836">
              <w:rPr>
                <w:b/>
              </w:rPr>
              <w:t>160,750</w:t>
            </w:r>
          </w:p>
        </w:tc>
      </w:tr>
      <w:tr w:rsidR="001458D2" w:rsidTr="00D62836">
        <w:tc>
          <w:tcPr>
            <w:tcW w:w="3085" w:type="dxa"/>
          </w:tcPr>
          <w:p w:rsidR="001458D2" w:rsidRDefault="00D62836">
            <w:r>
              <w:t>Severe Learning Difficulty</w:t>
            </w:r>
          </w:p>
        </w:tc>
        <w:tc>
          <w:tcPr>
            <w:tcW w:w="1701" w:type="dxa"/>
          </w:tcPr>
          <w:p w:rsidR="001458D2" w:rsidRDefault="001458D2">
            <w:r>
              <w:t>4,690</w:t>
            </w:r>
          </w:p>
        </w:tc>
        <w:tc>
          <w:tcPr>
            <w:tcW w:w="1622" w:type="dxa"/>
          </w:tcPr>
          <w:p w:rsidR="001458D2" w:rsidRDefault="001458D2">
            <w:r>
              <w:t>2,415</w:t>
            </w:r>
          </w:p>
        </w:tc>
        <w:tc>
          <w:tcPr>
            <w:tcW w:w="2137" w:type="dxa"/>
          </w:tcPr>
          <w:p w:rsidR="001458D2" w:rsidRDefault="001458D2">
            <w:r>
              <w:t>22,165</w:t>
            </w:r>
          </w:p>
        </w:tc>
        <w:tc>
          <w:tcPr>
            <w:tcW w:w="2137" w:type="dxa"/>
          </w:tcPr>
          <w:p w:rsidR="001458D2" w:rsidRPr="00D62836" w:rsidRDefault="001458D2">
            <w:pPr>
              <w:rPr>
                <w:b/>
              </w:rPr>
            </w:pPr>
            <w:r w:rsidRPr="00D62836">
              <w:rPr>
                <w:b/>
              </w:rPr>
              <w:t>29,270</w:t>
            </w:r>
          </w:p>
        </w:tc>
      </w:tr>
      <w:tr w:rsidR="001458D2" w:rsidTr="00D62836">
        <w:tc>
          <w:tcPr>
            <w:tcW w:w="3085" w:type="dxa"/>
          </w:tcPr>
          <w:p w:rsidR="001458D2" w:rsidRDefault="001458D2">
            <w:r>
              <w:t>Profound &amp;Multiple</w:t>
            </w:r>
          </w:p>
          <w:p w:rsidR="001458D2" w:rsidRDefault="001458D2">
            <w:r>
              <w:t>Learning Difficulty</w:t>
            </w:r>
          </w:p>
        </w:tc>
        <w:tc>
          <w:tcPr>
            <w:tcW w:w="1701" w:type="dxa"/>
          </w:tcPr>
          <w:p w:rsidR="001458D2" w:rsidRDefault="001458D2">
            <w:r>
              <w:t>1,510</w:t>
            </w:r>
          </w:p>
        </w:tc>
        <w:tc>
          <w:tcPr>
            <w:tcW w:w="1622" w:type="dxa"/>
          </w:tcPr>
          <w:p w:rsidR="001458D2" w:rsidRDefault="001458D2">
            <w:r>
              <w:t>300</w:t>
            </w:r>
          </w:p>
        </w:tc>
        <w:tc>
          <w:tcPr>
            <w:tcW w:w="2137" w:type="dxa"/>
          </w:tcPr>
          <w:p w:rsidR="001458D2" w:rsidRDefault="001458D2">
            <w:r>
              <w:t>7,790</w:t>
            </w:r>
          </w:p>
        </w:tc>
        <w:tc>
          <w:tcPr>
            <w:tcW w:w="2137" w:type="dxa"/>
          </w:tcPr>
          <w:p w:rsidR="001458D2" w:rsidRPr="00D62836" w:rsidRDefault="001458D2">
            <w:pPr>
              <w:rPr>
                <w:b/>
              </w:rPr>
            </w:pPr>
            <w:r w:rsidRPr="00D62836">
              <w:rPr>
                <w:b/>
              </w:rPr>
              <w:t>9,900</w:t>
            </w:r>
          </w:p>
        </w:tc>
      </w:tr>
      <w:tr w:rsidR="001458D2" w:rsidTr="00D62836">
        <w:tc>
          <w:tcPr>
            <w:tcW w:w="3085" w:type="dxa"/>
          </w:tcPr>
          <w:p w:rsidR="001458D2" w:rsidRDefault="001458D2">
            <w:r>
              <w:t>Behaviour Emotional Social Difficulty</w:t>
            </w:r>
          </w:p>
        </w:tc>
        <w:tc>
          <w:tcPr>
            <w:tcW w:w="1701" w:type="dxa"/>
          </w:tcPr>
          <w:p w:rsidR="001458D2" w:rsidRDefault="001458D2">
            <w:r>
              <w:t>61,950</w:t>
            </w:r>
          </w:p>
        </w:tc>
        <w:tc>
          <w:tcPr>
            <w:tcW w:w="1622" w:type="dxa"/>
          </w:tcPr>
          <w:p w:rsidR="001458D2" w:rsidRDefault="001458D2">
            <w:r>
              <w:t>82,985</w:t>
            </w:r>
          </w:p>
        </w:tc>
        <w:tc>
          <w:tcPr>
            <w:tcW w:w="2137" w:type="dxa"/>
          </w:tcPr>
          <w:p w:rsidR="001458D2" w:rsidRDefault="00D62836">
            <w:r>
              <w:t>13,125</w:t>
            </w:r>
          </w:p>
        </w:tc>
        <w:tc>
          <w:tcPr>
            <w:tcW w:w="2137" w:type="dxa"/>
          </w:tcPr>
          <w:p w:rsidR="001458D2" w:rsidRPr="00D62836" w:rsidRDefault="00D62836">
            <w:pPr>
              <w:rPr>
                <w:b/>
              </w:rPr>
            </w:pPr>
            <w:r w:rsidRPr="00D62836">
              <w:rPr>
                <w:b/>
              </w:rPr>
              <w:t>158,015</w:t>
            </w:r>
          </w:p>
        </w:tc>
      </w:tr>
      <w:tr w:rsidR="001458D2" w:rsidTr="00D62836">
        <w:tc>
          <w:tcPr>
            <w:tcW w:w="3085" w:type="dxa"/>
          </w:tcPr>
          <w:p w:rsidR="001458D2" w:rsidRDefault="00D62836">
            <w:r>
              <w:t>Speech Language and Communication Difficulty</w:t>
            </w:r>
          </w:p>
        </w:tc>
        <w:tc>
          <w:tcPr>
            <w:tcW w:w="1701" w:type="dxa"/>
          </w:tcPr>
          <w:p w:rsidR="001458D2" w:rsidRDefault="00D62836">
            <w:r>
              <w:t>93,005</w:t>
            </w:r>
          </w:p>
        </w:tc>
        <w:tc>
          <w:tcPr>
            <w:tcW w:w="1622" w:type="dxa"/>
          </w:tcPr>
          <w:p w:rsidR="001458D2" w:rsidRDefault="00D62836">
            <w:r>
              <w:t>24,075</w:t>
            </w:r>
          </w:p>
        </w:tc>
        <w:tc>
          <w:tcPr>
            <w:tcW w:w="2137" w:type="dxa"/>
          </w:tcPr>
          <w:p w:rsidR="001458D2" w:rsidRDefault="00D62836">
            <w:r>
              <w:t>4,530</w:t>
            </w:r>
          </w:p>
        </w:tc>
        <w:tc>
          <w:tcPr>
            <w:tcW w:w="2137" w:type="dxa"/>
          </w:tcPr>
          <w:p w:rsidR="001458D2" w:rsidRPr="00D62836" w:rsidRDefault="00D62836">
            <w:pPr>
              <w:rPr>
                <w:b/>
              </w:rPr>
            </w:pPr>
            <w:r w:rsidRPr="00D62836">
              <w:rPr>
                <w:b/>
              </w:rPr>
              <w:t>120,605</w:t>
            </w:r>
          </w:p>
        </w:tc>
      </w:tr>
      <w:tr w:rsidR="001458D2" w:rsidTr="00D62836">
        <w:tc>
          <w:tcPr>
            <w:tcW w:w="3085" w:type="dxa"/>
          </w:tcPr>
          <w:p w:rsidR="001458D2" w:rsidRDefault="00D62836">
            <w:r>
              <w:t>Visual, Hearing and Multi Sensory Impairment</w:t>
            </w:r>
          </w:p>
        </w:tc>
        <w:tc>
          <w:tcPr>
            <w:tcW w:w="1701" w:type="dxa"/>
          </w:tcPr>
          <w:p w:rsidR="001458D2" w:rsidRDefault="00D62836">
            <w:r>
              <w:t>12,095</w:t>
            </w:r>
          </w:p>
        </w:tc>
        <w:tc>
          <w:tcPr>
            <w:tcW w:w="1622" w:type="dxa"/>
          </w:tcPr>
          <w:p w:rsidR="001458D2" w:rsidRDefault="00D62836">
            <w:r>
              <w:t>11,200</w:t>
            </w:r>
          </w:p>
        </w:tc>
        <w:tc>
          <w:tcPr>
            <w:tcW w:w="2137" w:type="dxa"/>
          </w:tcPr>
          <w:p w:rsidR="001458D2" w:rsidRDefault="00D62836">
            <w:r>
              <w:t>2,495</w:t>
            </w:r>
          </w:p>
        </w:tc>
        <w:tc>
          <w:tcPr>
            <w:tcW w:w="2137" w:type="dxa"/>
          </w:tcPr>
          <w:p w:rsidR="001458D2" w:rsidRPr="00D62836" w:rsidRDefault="00D62836">
            <w:pPr>
              <w:rPr>
                <w:b/>
              </w:rPr>
            </w:pPr>
            <w:r w:rsidRPr="00D62836">
              <w:rPr>
                <w:b/>
              </w:rPr>
              <w:t>25,685</w:t>
            </w:r>
          </w:p>
        </w:tc>
      </w:tr>
      <w:tr w:rsidR="001458D2" w:rsidTr="00D62836">
        <w:tc>
          <w:tcPr>
            <w:tcW w:w="3085" w:type="dxa"/>
          </w:tcPr>
          <w:p w:rsidR="001458D2" w:rsidRDefault="00D62836">
            <w:r>
              <w:t>Physical Impairment</w:t>
            </w:r>
          </w:p>
        </w:tc>
        <w:tc>
          <w:tcPr>
            <w:tcW w:w="1701" w:type="dxa"/>
          </w:tcPr>
          <w:p w:rsidR="001458D2" w:rsidRDefault="00D62836">
            <w:r>
              <w:t>13,410</w:t>
            </w:r>
          </w:p>
        </w:tc>
        <w:tc>
          <w:tcPr>
            <w:tcW w:w="1622" w:type="dxa"/>
          </w:tcPr>
          <w:p w:rsidR="001458D2" w:rsidRDefault="00D62836">
            <w:r>
              <w:t>9,690</w:t>
            </w:r>
          </w:p>
        </w:tc>
        <w:tc>
          <w:tcPr>
            <w:tcW w:w="2137" w:type="dxa"/>
          </w:tcPr>
          <w:p w:rsidR="001458D2" w:rsidRDefault="00D62836">
            <w:r>
              <w:t>3,750</w:t>
            </w:r>
          </w:p>
        </w:tc>
        <w:tc>
          <w:tcPr>
            <w:tcW w:w="2137" w:type="dxa"/>
          </w:tcPr>
          <w:p w:rsidR="001458D2" w:rsidRPr="00D62836" w:rsidRDefault="00D62836">
            <w:pPr>
              <w:rPr>
                <w:b/>
              </w:rPr>
            </w:pPr>
            <w:r w:rsidRPr="00D62836">
              <w:rPr>
                <w:b/>
              </w:rPr>
              <w:t>26970</w:t>
            </w:r>
          </w:p>
        </w:tc>
      </w:tr>
      <w:tr w:rsidR="001458D2" w:rsidTr="00D62836">
        <w:tc>
          <w:tcPr>
            <w:tcW w:w="3085" w:type="dxa"/>
          </w:tcPr>
          <w:p w:rsidR="001458D2" w:rsidRDefault="00D62836">
            <w:r>
              <w:t xml:space="preserve">Autism Spectrum </w:t>
            </w:r>
          </w:p>
        </w:tc>
        <w:tc>
          <w:tcPr>
            <w:tcW w:w="1701" w:type="dxa"/>
          </w:tcPr>
          <w:p w:rsidR="001458D2" w:rsidRDefault="00D62836">
            <w:r>
              <w:t>22,800</w:t>
            </w:r>
          </w:p>
        </w:tc>
        <w:tc>
          <w:tcPr>
            <w:tcW w:w="1622" w:type="dxa"/>
          </w:tcPr>
          <w:p w:rsidR="001458D2" w:rsidRDefault="00D62836">
            <w:r>
              <w:t>20,615</w:t>
            </w:r>
          </w:p>
        </w:tc>
        <w:tc>
          <w:tcPr>
            <w:tcW w:w="2137" w:type="dxa"/>
          </w:tcPr>
          <w:p w:rsidR="001458D2" w:rsidRDefault="00D62836">
            <w:r>
              <w:t>18,150</w:t>
            </w:r>
          </w:p>
        </w:tc>
        <w:tc>
          <w:tcPr>
            <w:tcW w:w="2137" w:type="dxa"/>
          </w:tcPr>
          <w:p w:rsidR="001458D2" w:rsidRPr="00D62836" w:rsidRDefault="00D62836">
            <w:pPr>
              <w:rPr>
                <w:b/>
              </w:rPr>
            </w:pPr>
            <w:r w:rsidRPr="00D62836">
              <w:rPr>
                <w:b/>
              </w:rPr>
              <w:t>61,570</w:t>
            </w:r>
          </w:p>
        </w:tc>
      </w:tr>
      <w:tr w:rsidR="001458D2" w:rsidTr="00D62836">
        <w:tc>
          <w:tcPr>
            <w:tcW w:w="3085" w:type="dxa"/>
          </w:tcPr>
          <w:p w:rsidR="001458D2" w:rsidRDefault="00D62836">
            <w:r>
              <w:t xml:space="preserve">Other </w:t>
            </w:r>
          </w:p>
        </w:tc>
        <w:tc>
          <w:tcPr>
            <w:tcW w:w="1701" w:type="dxa"/>
          </w:tcPr>
          <w:p w:rsidR="001458D2" w:rsidRDefault="00D62836">
            <w:r>
              <w:t>13,105</w:t>
            </w:r>
          </w:p>
        </w:tc>
        <w:tc>
          <w:tcPr>
            <w:tcW w:w="1622" w:type="dxa"/>
          </w:tcPr>
          <w:p w:rsidR="001458D2" w:rsidRDefault="00D62836">
            <w:r>
              <w:t>16,730</w:t>
            </w:r>
          </w:p>
        </w:tc>
        <w:tc>
          <w:tcPr>
            <w:tcW w:w="2137" w:type="dxa"/>
          </w:tcPr>
          <w:p w:rsidR="001458D2" w:rsidRDefault="00D62836">
            <w:r>
              <w:t>640</w:t>
            </w:r>
          </w:p>
        </w:tc>
        <w:tc>
          <w:tcPr>
            <w:tcW w:w="2137" w:type="dxa"/>
          </w:tcPr>
          <w:p w:rsidR="001458D2" w:rsidRPr="00D62836" w:rsidRDefault="00D62836">
            <w:pPr>
              <w:rPr>
                <w:b/>
              </w:rPr>
            </w:pPr>
            <w:r w:rsidRPr="00D62836">
              <w:rPr>
                <w:b/>
              </w:rPr>
              <w:t>30,480</w:t>
            </w:r>
          </w:p>
        </w:tc>
      </w:tr>
      <w:tr w:rsidR="00D62836" w:rsidTr="00D62836">
        <w:tc>
          <w:tcPr>
            <w:tcW w:w="3085" w:type="dxa"/>
          </w:tcPr>
          <w:p w:rsidR="00D62836" w:rsidRPr="00D62836" w:rsidRDefault="00D62836">
            <w:pPr>
              <w:rPr>
                <w:b/>
              </w:rPr>
            </w:pPr>
            <w:r w:rsidRPr="00D62836">
              <w:rPr>
                <w:b/>
              </w:rPr>
              <w:t xml:space="preserve">Total </w:t>
            </w:r>
          </w:p>
        </w:tc>
        <w:tc>
          <w:tcPr>
            <w:tcW w:w="1701" w:type="dxa"/>
          </w:tcPr>
          <w:p w:rsidR="00D62836" w:rsidRPr="00D62836" w:rsidRDefault="00D62836">
            <w:pPr>
              <w:rPr>
                <w:b/>
              </w:rPr>
            </w:pPr>
            <w:r w:rsidRPr="00D62836">
              <w:rPr>
                <w:b/>
              </w:rPr>
              <w:t>332.8 k</w:t>
            </w:r>
          </w:p>
        </w:tc>
        <w:tc>
          <w:tcPr>
            <w:tcW w:w="1622" w:type="dxa"/>
          </w:tcPr>
          <w:p w:rsidR="00D62836" w:rsidRPr="00D62836" w:rsidRDefault="00D62836">
            <w:pPr>
              <w:rPr>
                <w:b/>
              </w:rPr>
            </w:pPr>
            <w:r w:rsidRPr="00D62836">
              <w:rPr>
                <w:b/>
              </w:rPr>
              <w:t>276.2k</w:t>
            </w:r>
          </w:p>
        </w:tc>
        <w:tc>
          <w:tcPr>
            <w:tcW w:w="2137" w:type="dxa"/>
          </w:tcPr>
          <w:p w:rsidR="00D62836" w:rsidRPr="00D62836" w:rsidRDefault="00D62836">
            <w:pPr>
              <w:rPr>
                <w:b/>
              </w:rPr>
            </w:pPr>
            <w:r w:rsidRPr="00D62836">
              <w:rPr>
                <w:b/>
              </w:rPr>
              <w:t>92.3k</w:t>
            </w:r>
          </w:p>
        </w:tc>
        <w:tc>
          <w:tcPr>
            <w:tcW w:w="2137" w:type="dxa"/>
          </w:tcPr>
          <w:p w:rsidR="00D62836" w:rsidRPr="00D62836" w:rsidRDefault="00D62836">
            <w:pPr>
              <w:rPr>
                <w:b/>
              </w:rPr>
            </w:pPr>
            <w:r w:rsidRPr="00D62836">
              <w:rPr>
                <w:b/>
              </w:rPr>
              <w:t>701,380</w:t>
            </w:r>
          </w:p>
        </w:tc>
      </w:tr>
    </w:tbl>
    <w:p w:rsidR="00D62836" w:rsidRPr="00797E2C" w:rsidRDefault="00D62836" w:rsidP="00D62836">
      <w:r w:rsidRPr="00797E2C">
        <w:rPr>
          <w:bCs/>
        </w:rPr>
        <w:t>Total SEN</w:t>
      </w:r>
      <w:r w:rsidR="003836ED" w:rsidRPr="00797E2C">
        <w:t xml:space="preserve">  </w:t>
      </w:r>
      <w:r w:rsidRPr="00797E2C">
        <w:rPr>
          <w:bCs/>
        </w:rPr>
        <w:t>Secondary 21.4%</w:t>
      </w:r>
      <w:r w:rsidR="003836ED" w:rsidRPr="00797E2C">
        <w:t xml:space="preserve">  </w:t>
      </w:r>
      <w:r w:rsidRPr="00797E2C">
        <w:rPr>
          <w:bCs/>
        </w:rPr>
        <w:t xml:space="preserve">Primary 19.3% </w:t>
      </w:r>
      <w:r w:rsidR="003836ED" w:rsidRPr="00797E2C">
        <w:t xml:space="preserve"> </w:t>
      </w:r>
      <w:r w:rsidRPr="00797E2C">
        <w:rPr>
          <w:bCs/>
        </w:rPr>
        <w:t>School Action 418,935 secondary pupils</w:t>
      </w:r>
      <w:r w:rsidR="003836ED" w:rsidRPr="00797E2C">
        <w:rPr>
          <w:bCs/>
        </w:rPr>
        <w:t>;</w:t>
      </w:r>
      <w:r w:rsidR="00673F73">
        <w:rPr>
          <w:bCs/>
        </w:rPr>
        <w:t xml:space="preserve"> </w:t>
      </w:r>
      <w:r w:rsidRPr="00797E2C">
        <w:rPr>
          <w:bCs/>
        </w:rPr>
        <w:t>467,615</w:t>
      </w:r>
      <w:r w:rsidR="003836ED" w:rsidRPr="00797E2C">
        <w:t xml:space="preserve"> </w:t>
      </w:r>
      <w:r w:rsidRPr="00797E2C">
        <w:rPr>
          <w:bCs/>
        </w:rPr>
        <w:t>primary pupils Source DFE Table 11. SFR14/2011</w:t>
      </w:r>
      <w:r w:rsidRPr="00797E2C">
        <w:t xml:space="preserve"> </w:t>
      </w:r>
    </w:p>
    <w:p w:rsidR="000D5270" w:rsidRDefault="000124B2">
      <w:r>
        <w:t xml:space="preserve">As can be seen the large  majority of disabled pupils have  Speech, Language and Communication Impairments, Moderate Learning Difficulties, Behaviour, Emotional and Social Difficulties, Specific learning Difficulties or are on the Autistic Spectrum. Given the numbers these are likely to be in every school and most classes. </w:t>
      </w:r>
    </w:p>
    <w:p w:rsidR="00251F62" w:rsidRDefault="00251F62">
      <w:r>
        <w:lastRenderedPageBreak/>
        <w:t>Now under the Equalities Act those associated with disabled people can also claim disability discrimination so parents of disabled children or young carers of disabled adults have a right to claim disability discrimination.</w:t>
      </w:r>
    </w:p>
    <w:p w:rsidR="0005211D" w:rsidRDefault="0005211D">
      <w:pPr>
        <w:rPr>
          <w:b/>
        </w:rPr>
      </w:pPr>
      <w:r w:rsidRPr="0005211D">
        <w:rPr>
          <w:b/>
        </w:rPr>
        <w:t>Protection from discrimination</w:t>
      </w:r>
    </w:p>
    <w:p w:rsidR="002B2AD0" w:rsidRPr="00AB4C3B" w:rsidRDefault="002B2AD0" w:rsidP="00AB4C3B">
      <w:pPr>
        <w:spacing w:after="0" w:line="240" w:lineRule="auto"/>
      </w:pPr>
      <w:r>
        <w:t>The SEN Disability Tribunal hear cases of discrimination in schools in England. From 2002 more than 800 cases hav</w:t>
      </w:r>
      <w:r w:rsidR="00AB4C3B">
        <w:t>e been upheld</w:t>
      </w:r>
      <w:r>
        <w:t>. Since 2009 the First Tier of the Social Care, Health and Education Tribunal was reorganised and came under the Ministry of Justice. The Tribunal has been responsible for hearing cases brought against the Responsible Body by par</w:t>
      </w:r>
      <w:r w:rsidR="00AB4C3B">
        <w:t xml:space="preserve">ents for </w:t>
      </w:r>
      <w:r>
        <w:t>disability discrimination.</w:t>
      </w:r>
      <w:r w:rsidR="00AB4C3B">
        <w:t xml:space="preserve"> Appeals now go to the Upper T</w:t>
      </w:r>
      <w:r>
        <w:t xml:space="preserve">ribunal rather than the High Court. Cases </w:t>
      </w:r>
      <w:r w:rsidRPr="00AB4C3B">
        <w:t>uphe</w:t>
      </w:r>
      <w:r w:rsidR="00AB4C3B">
        <w:t xml:space="preserve">ld against schools have </w:t>
      </w:r>
      <w:r w:rsidRPr="00AB4C3B">
        <w:t>bee</w:t>
      </w:r>
      <w:r w:rsidR="00AB4C3B" w:rsidRPr="00AB4C3B">
        <w:t>n mainly in the following areas:-</w:t>
      </w:r>
    </w:p>
    <w:p w:rsidR="005B683B" w:rsidRPr="00AB4C3B" w:rsidRDefault="002B2AD0" w:rsidP="00AB4C3B">
      <w:pPr>
        <w:numPr>
          <w:ilvl w:val="0"/>
          <w:numId w:val="2"/>
        </w:numPr>
        <w:spacing w:after="0" w:line="240" w:lineRule="auto"/>
      </w:pPr>
      <w:r w:rsidRPr="00AB4C3B">
        <w:rPr>
          <w:bCs/>
          <w:lang w:val="en-US"/>
        </w:rPr>
        <w:t>Wrong assumptions about disabled pupils</w:t>
      </w:r>
    </w:p>
    <w:p w:rsidR="005B683B" w:rsidRPr="00AB4C3B" w:rsidRDefault="002B2AD0" w:rsidP="00AB4C3B">
      <w:pPr>
        <w:numPr>
          <w:ilvl w:val="0"/>
          <w:numId w:val="2"/>
        </w:numPr>
        <w:spacing w:after="0" w:line="240" w:lineRule="auto"/>
      </w:pPr>
      <w:r w:rsidRPr="00AB4C3B">
        <w:rPr>
          <w:bCs/>
          <w:lang w:val="en-US"/>
        </w:rPr>
        <w:t>Improper use of risk assessments</w:t>
      </w:r>
    </w:p>
    <w:p w:rsidR="005B683B" w:rsidRPr="00AB4C3B" w:rsidRDefault="002B2AD0" w:rsidP="00AB4C3B">
      <w:pPr>
        <w:numPr>
          <w:ilvl w:val="0"/>
          <w:numId w:val="2"/>
        </w:numPr>
        <w:spacing w:after="0" w:line="240" w:lineRule="auto"/>
      </w:pPr>
      <w:r w:rsidRPr="00AB4C3B">
        <w:rPr>
          <w:bCs/>
          <w:lang w:val="en-US"/>
        </w:rPr>
        <w:t>Refusal to administration of medicines</w:t>
      </w:r>
    </w:p>
    <w:p w:rsidR="005B683B" w:rsidRPr="00AB4C3B" w:rsidRDefault="002B2AD0" w:rsidP="00AB4C3B">
      <w:pPr>
        <w:numPr>
          <w:ilvl w:val="0"/>
          <w:numId w:val="2"/>
        </w:numPr>
        <w:spacing w:after="0" w:line="240" w:lineRule="auto"/>
      </w:pPr>
      <w:r w:rsidRPr="00AB4C3B">
        <w:rPr>
          <w:bCs/>
          <w:lang w:val="en-US"/>
        </w:rPr>
        <w:t>Not being allowed on school trips or after school activities</w:t>
      </w:r>
    </w:p>
    <w:p w:rsidR="005B683B" w:rsidRPr="00AB4C3B" w:rsidRDefault="00AB4C3B" w:rsidP="00AB4C3B">
      <w:pPr>
        <w:numPr>
          <w:ilvl w:val="0"/>
          <w:numId w:val="2"/>
        </w:numPr>
        <w:spacing w:after="0" w:line="240" w:lineRule="auto"/>
      </w:pPr>
      <w:r w:rsidRPr="00AB4C3B">
        <w:rPr>
          <w:bCs/>
          <w:lang w:val="en-US"/>
        </w:rPr>
        <w:t xml:space="preserve">Unfair sanctions </w:t>
      </w:r>
      <w:r w:rsidR="002B2AD0" w:rsidRPr="00AB4C3B">
        <w:rPr>
          <w:bCs/>
          <w:lang w:val="en-US"/>
        </w:rPr>
        <w:t>behaviour related to disability</w:t>
      </w:r>
    </w:p>
    <w:p w:rsidR="005B683B" w:rsidRPr="00AB4C3B" w:rsidRDefault="00AB4C3B" w:rsidP="00AB4C3B">
      <w:pPr>
        <w:numPr>
          <w:ilvl w:val="0"/>
          <w:numId w:val="2"/>
        </w:numPr>
        <w:spacing w:after="0" w:line="240" w:lineRule="auto"/>
      </w:pPr>
      <w:r w:rsidRPr="00AB4C3B">
        <w:rPr>
          <w:bCs/>
          <w:lang w:val="en-US"/>
        </w:rPr>
        <w:t xml:space="preserve">Subjected to </w:t>
      </w:r>
      <w:r w:rsidR="002B2AD0" w:rsidRPr="00AB4C3B">
        <w:rPr>
          <w:bCs/>
          <w:lang w:val="en-US"/>
        </w:rPr>
        <w:t>bullying and isolation from peers</w:t>
      </w:r>
    </w:p>
    <w:p w:rsidR="005B683B" w:rsidRPr="00AB4C3B" w:rsidRDefault="00AB4C3B" w:rsidP="00AB4C3B">
      <w:pPr>
        <w:numPr>
          <w:ilvl w:val="0"/>
          <w:numId w:val="2"/>
        </w:numPr>
        <w:spacing w:after="0" w:line="240" w:lineRule="auto"/>
      </w:pPr>
      <w:r w:rsidRPr="00AB4C3B">
        <w:rPr>
          <w:bCs/>
          <w:lang w:val="en-US"/>
        </w:rPr>
        <w:t xml:space="preserve">Denial of </w:t>
      </w:r>
      <w:r w:rsidR="002B2AD0" w:rsidRPr="00AB4C3B">
        <w:rPr>
          <w:bCs/>
          <w:lang w:val="en-US"/>
        </w:rPr>
        <w:t>access to the curriculum</w:t>
      </w:r>
    </w:p>
    <w:p w:rsidR="005B683B" w:rsidRPr="00AB4C3B" w:rsidRDefault="00AB4C3B" w:rsidP="00AB4C3B">
      <w:pPr>
        <w:numPr>
          <w:ilvl w:val="0"/>
          <w:numId w:val="2"/>
        </w:numPr>
        <w:spacing w:after="0" w:line="240" w:lineRule="auto"/>
      </w:pPr>
      <w:r w:rsidRPr="00AB4C3B">
        <w:rPr>
          <w:bCs/>
          <w:lang w:val="en-US"/>
        </w:rPr>
        <w:t xml:space="preserve">Refusal  for </w:t>
      </w:r>
      <w:r w:rsidR="002B2AD0" w:rsidRPr="00AB4C3B">
        <w:rPr>
          <w:bCs/>
          <w:lang w:val="en-US"/>
        </w:rPr>
        <w:t>admissions</w:t>
      </w:r>
      <w:r w:rsidRPr="00AB4C3B">
        <w:rPr>
          <w:bCs/>
          <w:lang w:val="en-US"/>
        </w:rPr>
        <w:t xml:space="preserve"> or restricted or conditional admissions</w:t>
      </w:r>
      <w:r>
        <w:rPr>
          <w:bCs/>
          <w:lang w:val="en-US"/>
        </w:rPr>
        <w:t>.</w:t>
      </w:r>
    </w:p>
    <w:p w:rsidR="00B22DC6" w:rsidRDefault="00AB4C3B" w:rsidP="00AB4C3B">
      <w:pPr>
        <w:spacing w:after="0" w:line="240" w:lineRule="auto"/>
      </w:pPr>
      <w:r>
        <w:rPr>
          <w:bCs/>
          <w:lang w:val="en-US"/>
        </w:rPr>
        <w:t>Remedies include letters of apology, orders for changed practice, training for staff, re</w:t>
      </w:r>
      <w:r w:rsidR="004077A7">
        <w:rPr>
          <w:bCs/>
          <w:lang w:val="en-US"/>
        </w:rPr>
        <w:t>-</w:t>
      </w:r>
      <w:r>
        <w:rPr>
          <w:bCs/>
          <w:lang w:val="en-US"/>
        </w:rPr>
        <w:t>doing activities but not financial compensation.</w:t>
      </w:r>
      <w:r>
        <w:t xml:space="preserve"> </w:t>
      </w:r>
      <w:r w:rsidR="004077A7">
        <w:t xml:space="preserve"> This has been restated  (Schedule 17, para 5) so ‘the Tribunal can makes such order as it thinks fit’ and’ may in particular, be exercised with a view to obviating or reducing the adverse effect on the person of any matter to which the claim relates’.</w:t>
      </w:r>
    </w:p>
    <w:p w:rsidR="00B22DC6" w:rsidRDefault="00B22DC6" w:rsidP="00AB4C3B">
      <w:pPr>
        <w:spacing w:after="0" w:line="240" w:lineRule="auto"/>
      </w:pPr>
    </w:p>
    <w:p w:rsidR="00AB4C3B" w:rsidRPr="00AB4C3B" w:rsidRDefault="00AB4C3B" w:rsidP="00AB4C3B">
      <w:pPr>
        <w:spacing w:after="0" w:line="240" w:lineRule="auto"/>
      </w:pPr>
      <w:r>
        <w:t xml:space="preserve">The </w:t>
      </w:r>
      <w:r w:rsidRPr="00AB4C3B">
        <w:t>Single Equalities Act has introduced new forms of disability discrimination</w:t>
      </w:r>
      <w:r>
        <w:t>:- Direct Discrimination,  Discriminatio</w:t>
      </w:r>
      <w:r w:rsidR="00B22DC6">
        <w:t>n Arising from D</w:t>
      </w:r>
      <w:r>
        <w:t>isability, Indirect Discrimination, added to the existing duty to make Reasonable Adjust</w:t>
      </w:r>
      <w:r w:rsidR="00B22DC6">
        <w:t xml:space="preserve">ments, </w:t>
      </w:r>
      <w:r>
        <w:t>protection from H</w:t>
      </w:r>
      <w:r w:rsidR="00B22DC6">
        <w:t>arassment and Vi</w:t>
      </w:r>
      <w:r>
        <w:t>ctimisation.</w:t>
      </w:r>
      <w:r w:rsidR="004077A7">
        <w:t xml:space="preserve"> The Equality Act has broadened what is cover from ‘Education and associated services’ in the DDA to ‘education, benefit, facility or service’. So for example now any activity organised by or through the school such as holiday skiing trips or summer study programmes will be covered.</w:t>
      </w:r>
    </w:p>
    <w:p w:rsidR="004813E4" w:rsidRDefault="004813E4">
      <w:pPr>
        <w:rPr>
          <w:b/>
        </w:rPr>
      </w:pPr>
    </w:p>
    <w:p w:rsidR="00B22DC6" w:rsidRDefault="0005211D">
      <w:r>
        <w:rPr>
          <w:b/>
        </w:rPr>
        <w:t>Direct discrimination(S.13))</w:t>
      </w:r>
      <w:r w:rsidRPr="0005211D">
        <w:rPr>
          <w:b/>
        </w:rPr>
        <w:t xml:space="preserve"> </w:t>
      </w:r>
      <w:r w:rsidRPr="0005211D">
        <w:t>Here the Responsible Body</w:t>
      </w:r>
      <w:r w:rsidR="00967CB5">
        <w:t xml:space="preserve"> RB </w:t>
      </w:r>
      <w:r w:rsidRPr="0005211D">
        <w:t>( usually the Governors</w:t>
      </w:r>
      <w:r>
        <w:t xml:space="preserve"> or in the case of private schools the proprietors) treats the child/student less favourably than it would treat other children/students and the less favourable treatment was because of the disability. This applies to all the protected characteristics e.g. age (not for pupils), gender assignment, marriage and civil partnership, pregnancy and maternity, race, religion or be</w:t>
      </w:r>
      <w:r w:rsidR="004813E4">
        <w:t>lief, sex or sexual orientation</w:t>
      </w:r>
      <w:r>
        <w:t>(S4)</w:t>
      </w:r>
      <w:r w:rsidR="004813E4">
        <w:t>.</w:t>
      </w:r>
      <w:r w:rsidR="0045470E">
        <w:t xml:space="preserve">  A case of discrimination can now be taken on disability and another ground. A 14 year old girl with learning difficulty is permanently excluded from the school because she is pregnant and because her behaviour  is setting a bad moral example to the other girls. </w:t>
      </w:r>
      <w:r w:rsidR="00B22DC6">
        <w:t>For disability this provision does not prevent more favourable treatment. More commonly refusing or preventing  a disabled pupil from taking part in an activity or area of school life on the grounds of disability when such restrictions are not used for non-disabled pupils will nearly always be direct discrimination. What support the school can provide under the SEN framework and what reasonable adjustments can be made should always be considered prior to a decision being made.</w:t>
      </w:r>
      <w:r w:rsidR="004077A7">
        <w:t xml:space="preserve"> There is no longer a justification defence.</w:t>
      </w:r>
    </w:p>
    <w:p w:rsidR="004077A7" w:rsidRDefault="004077A7">
      <w:r w:rsidRPr="00967CB5">
        <w:rPr>
          <w:b/>
        </w:rPr>
        <w:t>Discrimination Arising from Disability</w:t>
      </w:r>
      <w:r w:rsidR="00967CB5">
        <w:rPr>
          <w:b/>
        </w:rPr>
        <w:t xml:space="preserve"> (S15). </w:t>
      </w:r>
      <w:r w:rsidR="00967CB5" w:rsidRPr="00967CB5">
        <w:t>This occurs where the RB</w:t>
      </w:r>
      <w:r w:rsidR="002C3D23">
        <w:t>/school</w:t>
      </w:r>
      <w:r w:rsidR="00967CB5">
        <w:t xml:space="preserve"> has treated a child less favourably, where the less favourable treatment was of something arising in consequence of their disability. If the RB  can show they did not know or could not have known the child had disability and /or that the treatment was a proportionate means of achieving a legitimate aim then this form, of discrimination did not occur. For example a child with autism</w:t>
      </w:r>
      <w:r w:rsidR="00ED2F78">
        <w:t>,</w:t>
      </w:r>
      <w:r w:rsidR="00967CB5">
        <w:t xml:space="preserve"> which the school was informed of</w:t>
      </w:r>
      <w:r w:rsidR="00ED2F78">
        <w:t>,</w:t>
      </w:r>
      <w:r w:rsidR="00967CB5">
        <w:t xml:space="preserve"> was regularly wetting themselves and staff refused to change them and regularly sent them home wet</w:t>
      </w:r>
      <w:r w:rsidR="00ED2F78">
        <w:t>,</w:t>
      </w:r>
      <w:r w:rsidR="00967CB5">
        <w:t xml:space="preserve"> would be likely to be upheld as discrimination arising from disability. However,</w:t>
      </w:r>
      <w:r w:rsidR="00ED2F78">
        <w:t xml:space="preserve"> a secondary pupil with controlled epilepsy, which he or his parents have not informed the school about, attends the school disco and as a result of strobe lighting has a seizure is unlikely to be upheld. If an inter-schools sports competition has been arranged and a child with chronic asthma is not chosen to be part of the team, this may be justified as a proportionate means of achieving a legitimate aim. The aim of w</w:t>
      </w:r>
      <w:r w:rsidR="002C3D23">
        <w:t xml:space="preserve">inning the competition would benefit </w:t>
      </w:r>
      <w:r w:rsidR="00ED2F78">
        <w:t xml:space="preserve">the school as a whole. We have yet to see how this new test works out in </w:t>
      </w:r>
      <w:r w:rsidR="002C3D23">
        <w:t>practice.</w:t>
      </w:r>
    </w:p>
    <w:p w:rsidR="002C3D23" w:rsidRDefault="002741BF">
      <w:r>
        <w:rPr>
          <w:b/>
        </w:rPr>
        <w:lastRenderedPageBreak/>
        <w:t>Indirect Discri</w:t>
      </w:r>
      <w:r w:rsidR="002C3D23" w:rsidRPr="002C3D23">
        <w:rPr>
          <w:b/>
        </w:rPr>
        <w:t>m</w:t>
      </w:r>
      <w:r>
        <w:rPr>
          <w:b/>
        </w:rPr>
        <w:t>in</w:t>
      </w:r>
      <w:r w:rsidR="002C3D23" w:rsidRPr="002C3D23">
        <w:rPr>
          <w:b/>
        </w:rPr>
        <w:t>ation</w:t>
      </w:r>
      <w:r w:rsidR="002C3D23">
        <w:rPr>
          <w:b/>
        </w:rPr>
        <w:t xml:space="preserve"> (S19). </w:t>
      </w:r>
      <w:r w:rsidR="002C3D23" w:rsidRPr="002C3D23">
        <w:t xml:space="preserve">Here </w:t>
      </w:r>
      <w:r w:rsidR="002C3D23">
        <w:t>i)</w:t>
      </w:r>
      <w:r w:rsidR="002C3D23" w:rsidRPr="002C3D23">
        <w:t>the RB/school</w:t>
      </w:r>
      <w:r w:rsidR="002C3D23">
        <w:t xml:space="preserve">  applied a provision, criterion or practice(PCP) to a disabled child; ii)they would have a applied this to a non-disabled child; iii) this PCP put the disabled child at a particular disadvantage compared to a non-disabled child; iv)</w:t>
      </w:r>
      <w:r>
        <w:t xml:space="preserve"> it did put this particular disabled child at a disadvantage v) the RB/school cannot show that the PCP in question was a proportionate means of achieving a legitimate aim. This appears complex to uphold as a form of disability discrimination and again is largely untested.  Example might be where a risk assessment is used to exclude disabled pupils from activities without any consideration of adjustments to reduce the risk. Another would be a school behaviour policy based on a ‘three strikes and you are out’ applied equally to a boy with ADHD or on the Autistic Continuum which lead to a large number of permanent exclusions. In this case the school should have had a differentiated behaviour policy which allowed different approaches, as soon as, the child’s behaviours were apparent such as the appointment of a mentor, peer support or an anger management programme.</w:t>
      </w:r>
    </w:p>
    <w:p w:rsidR="00D217DF" w:rsidRDefault="00D217DF">
      <w:r w:rsidRPr="00D217DF">
        <w:rPr>
          <w:b/>
        </w:rPr>
        <w:t>The Reasonable Adjustment Duty(S21)</w:t>
      </w:r>
      <w:r>
        <w:rPr>
          <w:b/>
        </w:rPr>
        <w:t xml:space="preserve"> </w:t>
      </w:r>
      <w:r>
        <w:t>which has been in force for al</w:t>
      </w:r>
      <w:r w:rsidRPr="00D217DF">
        <w:t>l schools since 2002 remains but the scope is widened</w:t>
      </w:r>
      <w:r>
        <w:t xml:space="preserve">. This is still the most important provision and requires all who work in schools  to take account of in their day to day practice and for those who plan and run schools to take account of and anticipate. The Duty applies to a provision, criteria or practice which affects admission, provision of education, or access </w:t>
      </w:r>
      <w:r w:rsidR="0063361A">
        <w:t>to a benefit</w:t>
      </w:r>
      <w:r>
        <w:t>, facility or service.</w:t>
      </w:r>
      <w:r w:rsidRPr="00D217DF">
        <w:t xml:space="preserve"> </w:t>
      </w:r>
      <w:r>
        <w:t>If the PCP put a disabled child at a substantial disadvantage,</w:t>
      </w:r>
      <w:r w:rsidR="0063361A">
        <w:t xml:space="preserve"> or would put</w:t>
      </w:r>
      <w:r>
        <w:t xml:space="preserve"> a disabled child at a substantial disadvantage, compared with children who are not disabled and the RB/school has not taken such steps as it is reasonable to have taken to avoid disadvantage then discrimination will have occurred.</w:t>
      </w:r>
      <w:r w:rsidR="0063361A">
        <w:t xml:space="preserve"> This is a balancing Act  between the detriment or likely detriment of the disabled child against the resources, previous practices, and interests of non-disabled children who attend the school. Most schools as they should have done have reviewed all their PCPs from this perspective and included adjustments into them to accommodate the commonly occurring impairments. However, there are always new and unknown situations arising in school and the object is to eradicate disability discrimination and so staff and governor vigilance is important and requires on-going training.</w:t>
      </w:r>
    </w:p>
    <w:p w:rsidR="0063361A" w:rsidRPr="0063361A" w:rsidRDefault="0063361A">
      <w:r w:rsidRPr="0063361A">
        <w:rPr>
          <w:b/>
        </w:rPr>
        <w:t>Harassment (S26)</w:t>
      </w:r>
      <w:r>
        <w:rPr>
          <w:b/>
        </w:rPr>
        <w:t xml:space="preserve">. </w:t>
      </w:r>
      <w:r w:rsidRPr="0063361A">
        <w:t>According to the EHRC Triennial Review in 2010 8 out of 10 disabled pupils have experienced bullying at school</w:t>
      </w:r>
      <w:r>
        <w:t xml:space="preserve">. We know that recorded hate crime towards disabled people is on the increase ( Hidden in Plain Sight EHRC 2011) and that the process of </w:t>
      </w:r>
      <w:r w:rsidR="004813E4">
        <w:t>‘</w:t>
      </w:r>
      <w:r>
        <w:t>othering</w:t>
      </w:r>
      <w:r w:rsidR="004813E4">
        <w:t>’</w:t>
      </w:r>
      <w:r w:rsidR="00252FF2">
        <w:t xml:space="preserve">:- social exclusion, isolation, name calling, prejudice, violence which can in a few cases lead to death on the streets can start in school and needs to be strongly countered by effective anti-bullying policies which involve all the pupils. If the RB/School’s conduct towards a pupil, including the behaviour of other pupils to that pupil, relate to their disability and is unwanted conduct and it violates their dignity or creates an intimidating, hostile, degrading, humiliating or otherwise offensive environment; then disability related harassment may have occurred. In determining this the school </w:t>
      </w:r>
      <w:r w:rsidR="007B6DE8">
        <w:t>or tribunal w</w:t>
      </w:r>
      <w:r w:rsidR="00252FF2">
        <w:t xml:space="preserve">ould take account of the disabled pupils perceptions, </w:t>
      </w:r>
      <w:r w:rsidR="007B6DE8">
        <w:t>other circumstances of the case and whether it is reasonable for the conduct to have that effect. Cl early intention of the perpetrator and perception of the victim are important here. Schools need to record all incidents including verbal; discuss this with all pupils when it occurs; give explanations of where these ideas come from as part of the curriculum; develop structures such as peer mediation, bully busting, buddies and circles of friends to counter disability harassment. Organising around UK Disability History Month provides a great opportunity and many resources to help with this (</w:t>
      </w:r>
      <w:hyperlink r:id="rId10" w:history="1">
        <w:r w:rsidR="007B6DE8" w:rsidRPr="007215A8">
          <w:rPr>
            <w:rStyle w:val="Hyperlink"/>
          </w:rPr>
          <w:t>www.ukdisabilityhistorymonth.com</w:t>
        </w:r>
      </w:hyperlink>
      <w:r w:rsidR="007B6DE8">
        <w:t xml:space="preserve">   ).</w:t>
      </w:r>
    </w:p>
    <w:p w:rsidR="00B22DC6" w:rsidRPr="00D217DF" w:rsidRDefault="00B22DC6"/>
    <w:p w:rsidR="00FE5634" w:rsidRPr="0005211D" w:rsidRDefault="0005211D">
      <w:pPr>
        <w:rPr>
          <w:b/>
        </w:rPr>
      </w:pPr>
      <w:r w:rsidRPr="0005211D">
        <w:rPr>
          <w:b/>
        </w:rPr>
        <w:t>Public Duty</w:t>
      </w:r>
      <w:r>
        <w:rPr>
          <w:b/>
        </w:rPr>
        <w:t xml:space="preserve">. </w:t>
      </w:r>
      <w:r w:rsidR="00772ED2">
        <w:t>The 2005 Disability Amendment A</w:t>
      </w:r>
      <w:r w:rsidR="00FE5634">
        <w:t xml:space="preserve">ct had </w:t>
      </w:r>
      <w:r w:rsidR="003E2EBC">
        <w:t xml:space="preserve">previously </w:t>
      </w:r>
      <w:r w:rsidR="00FE5634">
        <w:t xml:space="preserve">introduced </w:t>
      </w:r>
      <w:r w:rsidR="00772ED2">
        <w:t>the requirement on all publicly funded schools</w:t>
      </w:r>
      <w:r w:rsidR="003E2EBC">
        <w:t xml:space="preserve"> and colleges</w:t>
      </w:r>
      <w:r w:rsidR="00772ED2">
        <w:t xml:space="preserve"> to have a Disability Equality Scheme and that this should be developed from a ‘social model’ perspective i.e. identifying the barriers of attitude, organisation, policy and practice to disabled people</w:t>
      </w:r>
      <w:r w:rsidR="00FE5634">
        <w:t>’s achievement, progress and employment. The measure drew on the Macpherson’s Reports identification  of ‘institutional racism’ and following the response to this which was the Race Equality Duty</w:t>
      </w:r>
      <w:r w:rsidR="00BF394F">
        <w:t>,</w:t>
      </w:r>
      <w:r w:rsidR="003E2EBC">
        <w:t xml:space="preserve"> </w:t>
      </w:r>
      <w:r w:rsidR="00FE5634">
        <w:t xml:space="preserve">a similar measure </w:t>
      </w:r>
      <w:r w:rsidR="00BF394F">
        <w:t xml:space="preserve">for </w:t>
      </w:r>
      <w:r w:rsidR="00FE5634">
        <w:t>public bodies on disability</w:t>
      </w:r>
      <w:r w:rsidR="00434872">
        <w:t>,</w:t>
      </w:r>
      <w:r w:rsidR="00FE5634">
        <w:t xml:space="preserve"> including schools and colleges. </w:t>
      </w:r>
      <w:r w:rsidR="00BF394F">
        <w:t xml:space="preserve">This required </w:t>
      </w:r>
      <w:r w:rsidR="003E2EBC">
        <w:t xml:space="preserve">the </w:t>
      </w:r>
      <w:r w:rsidR="00BF394F">
        <w:t>involvement of disabled pupils, staff, parents and local community</w:t>
      </w:r>
      <w:r w:rsidR="003E2EBC">
        <w:t>; gathering performance data,</w:t>
      </w:r>
      <w:r w:rsidR="00BF394F">
        <w:t xml:space="preserve"> a</w:t>
      </w:r>
      <w:r w:rsidR="003E2EBC">
        <w:t>n</w:t>
      </w:r>
      <w:r w:rsidR="00BF394F">
        <w:t xml:space="preserve"> equality impact assessment and the drawing up of series of implementable targets</w:t>
      </w:r>
      <w:r w:rsidR="003E2EBC">
        <w:t xml:space="preserve">, </w:t>
      </w:r>
      <w:r w:rsidR="00434872">
        <w:t xml:space="preserve">in a </w:t>
      </w:r>
      <w:r w:rsidR="003E2EBC">
        <w:t>school Action Plan,</w:t>
      </w:r>
      <w:r w:rsidR="00BF394F">
        <w:t xml:space="preserve"> to improve disability equality over a three year period of which the Governors had oversight.</w:t>
      </w:r>
    </w:p>
    <w:p w:rsidR="00772ED2" w:rsidRDefault="00FE5634">
      <w:r>
        <w:lastRenderedPageBreak/>
        <w:t>This was not to be confused with the existing  Access Planning Duty introduced with the 2001 SEN Disability Act, which required schools to demonstrate in a statutory and enforceable plan how they would make progress over a series of 3 year periods in making :-a)the school environment more accessible, b) the curriculum more accessible and c) access written English material into alternative accessible formats. This duty has survived the Equality Act and remains a legal requirement on schools.</w:t>
      </w:r>
      <w:r w:rsidR="00814A2A">
        <w:t xml:space="preserve"> Work carried out for the DFES</w:t>
      </w:r>
      <w:r>
        <w:t xml:space="preserve"> (2006)</w:t>
      </w:r>
      <w:r w:rsidR="00BF394F">
        <w:rPr>
          <w:rStyle w:val="FootnoteReference"/>
        </w:rPr>
        <w:footnoteReference w:id="1"/>
      </w:r>
      <w:r>
        <w:t xml:space="preserve"> demonstrated that most schools and Local Authorities had interpreted this duty as only covering physical access to the school building.</w:t>
      </w:r>
      <w:r w:rsidR="00434872">
        <w:t xml:space="preserve"> It could be</w:t>
      </w:r>
      <w:r w:rsidR="004813E4">
        <w:t xml:space="preserve"> combined with a Di</w:t>
      </w:r>
      <w:r w:rsidR="00434872">
        <w:t>sability Equality Scheme, but not replace it.</w:t>
      </w:r>
    </w:p>
    <w:p w:rsidR="00434872" w:rsidRDefault="00BF394F" w:rsidP="00434872">
      <w:r>
        <w:t>Very few studies were carried out as to either the proportion of schools carrying this out in a meaningful way or the effectiveness of these measures. I carried out an analysis of 50 primary and 25 secondary schemes published on the internet for the Secretary of State in</w:t>
      </w:r>
      <w:r w:rsidR="00814A2A">
        <w:t xml:space="preserve"> 2008</w:t>
      </w:r>
      <w:r w:rsidR="00814A2A">
        <w:rPr>
          <w:rStyle w:val="FootnoteReference"/>
        </w:rPr>
        <w:footnoteReference w:id="2"/>
      </w:r>
      <w:r w:rsidR="00434872">
        <w:t>. These were schemes schools were prepared to place on the internet and were therefore, arguably, better than in most schools.</w:t>
      </w:r>
    </w:p>
    <w:p w:rsidR="00434872" w:rsidRDefault="002F52F4">
      <w:r>
        <w:t xml:space="preserve"> Two-</w:t>
      </w:r>
      <w:r w:rsidR="00814A2A">
        <w:t>Thirds of th</w:t>
      </w:r>
      <w:r>
        <w:t xml:space="preserve">e schemes </w:t>
      </w:r>
      <w:r w:rsidR="003E2EBC">
        <w:t xml:space="preserve">analysed </w:t>
      </w:r>
      <w:r>
        <w:t>covered the required six areas:</w:t>
      </w:r>
      <w:r w:rsidR="00814A2A">
        <w:t>- Promoting Equality, Eliminating Unlaw</w:t>
      </w:r>
      <w:r>
        <w:t>ful D</w:t>
      </w:r>
      <w:r w:rsidR="00814A2A">
        <w:t>iscrimination,</w:t>
      </w:r>
      <w:r>
        <w:t xml:space="preserve"> Eliminating Disability related Harassment, Promoting Positive Attitudes, Encouraging Participation in Public L</w:t>
      </w:r>
      <w:r w:rsidR="00814A2A">
        <w:t>ife and</w:t>
      </w:r>
      <w:r>
        <w:t xml:space="preserve"> Treating disabled people more F</w:t>
      </w:r>
      <w:r w:rsidR="00814A2A">
        <w:t>avourably</w:t>
      </w:r>
      <w:r>
        <w:t xml:space="preserve"> to varying extents. Only 20% mentioned the social model. 70%+ had engaged with parents, students and staff, but only 6% had talked to ex-pupils and 20% engaged with members of the local community. Very few schools had gathered any data. This improved in 2009 and 2010 as OFSTED introduced and Equality Limiting Grade and judged this very largely on attainment data.</w:t>
      </w:r>
      <w:r w:rsidR="003E2EBC">
        <w:t xml:space="preserve"> </w:t>
      </w:r>
      <w:r w:rsidR="004813E4">
        <w:t>The 2011 Act has removed this element of the OFSTED framework</w:t>
      </w:r>
    </w:p>
    <w:p w:rsidR="002F52F4" w:rsidRDefault="002F52F4">
      <w:r>
        <w:t xml:space="preserve">Only 17% of this sample outlined how they would raise disability in the curriculum. This low figure led to the Secretary of </w:t>
      </w:r>
      <w:r w:rsidR="00E83364">
        <w:t>State instructing QCDA to carry</w:t>
      </w:r>
      <w:r>
        <w:t xml:space="preserve"> out some research</w:t>
      </w:r>
      <w:r w:rsidR="00E83364">
        <w:t>,</w:t>
      </w:r>
      <w:r>
        <w:t xml:space="preserve"> working with schools on how to raise disability in the curriculum</w:t>
      </w:r>
      <w:r w:rsidR="00E83364">
        <w:t xml:space="preserve"> from a social model perspective. I was commissioned to carry out this work with 26 schools. We also made 9 films, which can be viewed on-line, together with more than 60 lesson ideas and 20 pages of resources for schools to use </w:t>
      </w:r>
      <w:r w:rsidR="00E83364">
        <w:rPr>
          <w:rStyle w:val="FootnoteReference"/>
        </w:rPr>
        <w:footnoteReference w:id="3"/>
      </w:r>
    </w:p>
    <w:p w:rsidR="003836ED" w:rsidRDefault="00E83364" w:rsidP="00807F0B">
      <w:r>
        <w:t xml:space="preserve">A further study I carried out </w:t>
      </w:r>
      <w:r w:rsidR="00434872">
        <w:t xml:space="preserve">in 2009 </w:t>
      </w:r>
      <w:r>
        <w:t>with all the schools in a London Borough confirmed these findings, with a wide</w:t>
      </w:r>
      <w:r w:rsidR="003E2EBC">
        <w:t>r range of scores. To score 50 a school had to be implementing all the statutory requirements. None did in either study and many were scoring very lowly. So they could tick the box that they had a scheme but for many</w:t>
      </w:r>
      <w:r w:rsidR="00807F0B">
        <w:t xml:space="preserve"> there was little evidence of a serious attempt by the school to address the issues.  This second study </w:t>
      </w:r>
      <w:r>
        <w:t>also reinforced the point that very few schools were using the Procurement of goods and services (6%) to get private providers to conform to the 2005 Disability Equality Act requirements, as was h0ped by the drafters.</w:t>
      </w:r>
      <w:r>
        <w:rPr>
          <w:rStyle w:val="FootnoteReference"/>
        </w:rPr>
        <w:footnoteReference w:id="4"/>
      </w:r>
      <w:r w:rsidR="00434872">
        <w:t xml:space="preserve"> A study of 40 secondary schools by Mencap in 2008 carried out by telephone interview found only 7 schools had a DES and only 1 met the statutory requirements</w:t>
      </w:r>
      <w:r w:rsidR="00434872">
        <w:rPr>
          <w:rStyle w:val="FootnoteReference"/>
        </w:rPr>
        <w:footnoteReference w:id="5"/>
      </w:r>
    </w:p>
    <w:p w:rsidR="00772ED2" w:rsidRDefault="00AB7AA8" w:rsidP="00807F0B">
      <w:r>
        <w:t>In 2010 t</w:t>
      </w:r>
      <w:r w:rsidR="0063020E">
        <w:t>he Equality and Human Rights Commission (EHRC) awarded Ipsos MORI a contract to investigate the impact of Race, Gender and Disability Equality schemes in schools.</w:t>
      </w:r>
      <w:r w:rsidR="0063020E">
        <w:rPr>
          <w:rStyle w:val="FootnoteReference"/>
        </w:rPr>
        <w:footnoteReference w:id="6"/>
      </w:r>
      <w:r w:rsidR="00080A92">
        <w:t xml:space="preserve"> This was based on 10% </w:t>
      </w:r>
      <w:r w:rsidR="00FE58C8">
        <w:t>random stratified sample of</w:t>
      </w:r>
      <w:r w:rsidR="00080A92">
        <w:t xml:space="preserve"> telephone questionnaires</w:t>
      </w:r>
      <w:r w:rsidR="00FE58C8">
        <w:t xml:space="preserve"> </w:t>
      </w:r>
      <w:r w:rsidR="003836ED">
        <w:t xml:space="preserve">to </w:t>
      </w:r>
      <w:r w:rsidR="00FE58C8">
        <w:t>English and Welsh schools</w:t>
      </w:r>
      <w:r w:rsidR="003836ED">
        <w:t>,</w:t>
      </w:r>
      <w:r w:rsidR="00FE58C8">
        <w:t xml:space="preserve"> </w:t>
      </w:r>
      <w:r w:rsidR="00080A92">
        <w:t xml:space="preserve"> with 503 interviews completed out of 3329 </w:t>
      </w:r>
      <w:r w:rsidR="00807F0B">
        <w:t xml:space="preserve">targeted </w:t>
      </w:r>
      <w:r w:rsidR="00080A92">
        <w:t>schools</w:t>
      </w:r>
      <w:r w:rsidR="003836ED">
        <w:t>. This</w:t>
      </w:r>
      <w:r w:rsidR="00080A92">
        <w:t xml:space="preserve"> was followed up by 12 in-depth telephone interviews and one field visit. The researchers found that</w:t>
      </w:r>
      <w:r w:rsidR="00807F0B">
        <w:t xml:space="preserve"> 88% had a single equality policy and that </w:t>
      </w:r>
      <w:r w:rsidR="00FE58C8">
        <w:t xml:space="preserve">79% </w:t>
      </w:r>
      <w:r w:rsidR="00080A92">
        <w:t xml:space="preserve">of schools </w:t>
      </w:r>
      <w:r w:rsidR="00FE58C8">
        <w:t>had a Disability Action Pl</w:t>
      </w:r>
      <w:r w:rsidR="00807F0B">
        <w:t>an, 52% a Race Equality Action P</w:t>
      </w:r>
      <w:r w:rsidR="00FE58C8">
        <w:t>lan and 40% a Gender Equality Plan.</w:t>
      </w:r>
      <w:r w:rsidR="00807F0B">
        <w:t xml:space="preserve"> However if the 54% of schools that improved facilities to make them suitable for disabled p</w:t>
      </w:r>
      <w:r w:rsidR="003836ED">
        <w:t xml:space="preserve">upils </w:t>
      </w:r>
      <w:r w:rsidR="00807F0B">
        <w:t>is taken out</w:t>
      </w:r>
      <w:r w:rsidR="003836ED">
        <w:t>,</w:t>
      </w:r>
      <w:r w:rsidR="00807F0B">
        <w:t xml:space="preserve"> as this rightly comes under the Access Planning Arrangements, then the next most commonly identified objective was 14% of schools had a target of making clubs, trips etc accessible to all, it can be </w:t>
      </w:r>
      <w:r w:rsidR="00807F0B">
        <w:lastRenderedPageBreak/>
        <w:t>seen that this high figure does not represent</w:t>
      </w:r>
      <w:r w:rsidR="008033FF">
        <w:t xml:space="preserve"> the large majority of </w:t>
      </w:r>
      <w:r w:rsidR="00807F0B">
        <w:t>schools engaging with the key issues under the Public duty of the 2010 Equalities Act for disabled pupils.</w:t>
      </w:r>
    </w:p>
    <w:p w:rsidR="003836ED" w:rsidRPr="003836ED" w:rsidRDefault="003836ED" w:rsidP="003836ED">
      <w:pPr>
        <w:numPr>
          <w:ilvl w:val="0"/>
          <w:numId w:val="1"/>
        </w:numPr>
      </w:pPr>
      <w:r w:rsidRPr="003836ED">
        <w:rPr>
          <w:b/>
          <w:bCs/>
        </w:rPr>
        <w:t>Eliminate discrimination, harassment and victimisation</w:t>
      </w:r>
      <w:r>
        <w:rPr>
          <w:b/>
          <w:bCs/>
        </w:rPr>
        <w:t xml:space="preserve"> of disabled people</w:t>
      </w:r>
      <w:r w:rsidRPr="003836ED">
        <w:rPr>
          <w:b/>
          <w:bCs/>
        </w:rPr>
        <w:t>;</w:t>
      </w:r>
    </w:p>
    <w:p w:rsidR="003836ED" w:rsidRPr="003836ED" w:rsidRDefault="003836ED" w:rsidP="003836ED">
      <w:pPr>
        <w:numPr>
          <w:ilvl w:val="0"/>
          <w:numId w:val="1"/>
        </w:numPr>
        <w:rPr>
          <w:b/>
        </w:rPr>
      </w:pPr>
      <w:r w:rsidRPr="003836ED">
        <w:rPr>
          <w:b/>
        </w:rPr>
        <w:t>Advance equality of opportunity-remove and minimise disadvantage, take steps to meet the needs of disabled people and encourage their participation</w:t>
      </w:r>
    </w:p>
    <w:p w:rsidR="00807F0B" w:rsidRPr="00AB7AA8" w:rsidRDefault="003836ED" w:rsidP="00807F0B">
      <w:pPr>
        <w:pStyle w:val="ListParagraph"/>
        <w:numPr>
          <w:ilvl w:val="0"/>
          <w:numId w:val="1"/>
        </w:numPr>
      </w:pPr>
      <w:r w:rsidRPr="003836ED">
        <w:rPr>
          <w:b/>
          <w:bCs/>
        </w:rPr>
        <w:t>Foster good relations</w:t>
      </w:r>
      <w:r>
        <w:rPr>
          <w:b/>
          <w:bCs/>
        </w:rPr>
        <w:t xml:space="preserve"> between disabled and non-disabled people</w:t>
      </w:r>
      <w:r w:rsidRPr="003836ED">
        <w:rPr>
          <w:b/>
          <w:bCs/>
        </w:rPr>
        <w:t>, tackle prejudice and promote understanding.</w:t>
      </w:r>
    </w:p>
    <w:p w:rsidR="00AB7AA8" w:rsidRDefault="00AB7AA8" w:rsidP="003D1544">
      <w:r>
        <w:t xml:space="preserve">The Coalition Government has now decided that the specific duty under which the DES was constructed should be significantly reduced to remove bureaucratic burden from schools. There is no specific duty for consultation or to draw up a scheme. Schools only have to fix one objective for </w:t>
      </w:r>
      <w:r w:rsidR="004813E4">
        <w:t>all the equality areas. However</w:t>
      </w:r>
      <w:r>
        <w:t xml:space="preserve">, the general duty to promote equality suggests through the criteria applied in the High Court that Governors/schools will need a rigorous approach to policy making if they are not to leave themselves open to judicial review. </w:t>
      </w:r>
    </w:p>
    <w:p w:rsidR="00AB7AA8" w:rsidRDefault="00AB7AA8" w:rsidP="003D1544">
      <w:r>
        <w:t>Two new areas are of interest. The Education Act 201i abolished independent appeals panels powers to overturn permanent exclusions which run 8 times higher for disabled pupils than non-disabled pupils.</w:t>
      </w:r>
      <w:r w:rsidR="003D1544">
        <w:t xml:space="preserve"> </w:t>
      </w:r>
      <w:r>
        <w:t xml:space="preserve">However after lobbying from the Special Education </w:t>
      </w:r>
      <w:r w:rsidR="006F3102">
        <w:t>Consortium</w:t>
      </w:r>
      <w:r w:rsidR="004813E4">
        <w:t xml:space="preserve">, </w:t>
      </w:r>
      <w:r>
        <w:t>SENDIST from September 2012</w:t>
      </w:r>
      <w:r w:rsidR="004813E4">
        <w:t>,</w:t>
      </w:r>
      <w:r>
        <w:t xml:space="preserve"> has been given the power to hear exclu</w:t>
      </w:r>
      <w:r w:rsidR="003D1544">
        <w:t xml:space="preserve">sion appeals for pupils with a Statement </w:t>
      </w:r>
      <w:r>
        <w:t xml:space="preserve"> and has the power to reinstate.</w:t>
      </w:r>
      <w:r w:rsidR="003D1544">
        <w:t xml:space="preserve"> For those without a Statement but with SEN the Governors will need to appoint an independent expert to review the case prior to decision.</w:t>
      </w:r>
    </w:p>
    <w:p w:rsidR="003D1544" w:rsidRDefault="003D1544" w:rsidP="003D1544">
      <w:r>
        <w:t>The Government is still considering whether to implement a duty on schools to provide  auxiliary aids and services on schools which mean all those considered disabled and without a Statement would need to be provided with the aids and support they need. If agreed then support for disabled pupils in schools who be majorly enhanced.</w:t>
      </w:r>
    </w:p>
    <w:p w:rsidR="00AB7AA8" w:rsidRDefault="00AB7AA8" w:rsidP="003D1544">
      <w:r>
        <w:t>Apar</w:t>
      </w:r>
      <w:r w:rsidR="003D1544">
        <w:t xml:space="preserve">t from legal requirements </w:t>
      </w:r>
      <w:r>
        <w:t xml:space="preserve">most schools have a policy actively committing them to promoting equalities. </w:t>
      </w:r>
      <w:r w:rsidR="00A44E10">
        <w:t xml:space="preserve">Disabled pupils are also of ethnic minorities, girls, of different sexual orientation or religion and schools must be vigilante for multiple discrimination. </w:t>
      </w:r>
      <w:bookmarkStart w:id="0" w:name="_GoBack"/>
      <w:bookmarkEnd w:id="0"/>
      <w:r>
        <w:t>However, little information or training has been made available to schools about the implications of the Equalities Act and how to develop promising practice to promote disability equality.</w:t>
      </w:r>
      <w:r w:rsidR="003D1544">
        <w:t xml:space="preserve"> The surveys quoted above suggest much work remains to be done though there has been some progress in the last 10 years.</w:t>
      </w:r>
    </w:p>
    <w:sectPr w:rsidR="00AB7AA8" w:rsidSect="00E83364">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36ED" w:rsidRDefault="003836ED" w:rsidP="00BF394F">
      <w:pPr>
        <w:spacing w:after="0" w:line="240" w:lineRule="auto"/>
      </w:pPr>
      <w:r>
        <w:separator/>
      </w:r>
    </w:p>
  </w:endnote>
  <w:endnote w:type="continuationSeparator" w:id="0">
    <w:p w:rsidR="003836ED" w:rsidRDefault="003836ED" w:rsidP="00BF39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36ED" w:rsidRDefault="003836ED" w:rsidP="00BF394F">
      <w:pPr>
        <w:spacing w:after="0" w:line="240" w:lineRule="auto"/>
      </w:pPr>
      <w:r>
        <w:separator/>
      </w:r>
    </w:p>
  </w:footnote>
  <w:footnote w:type="continuationSeparator" w:id="0">
    <w:p w:rsidR="003836ED" w:rsidRDefault="003836ED" w:rsidP="00BF394F">
      <w:pPr>
        <w:spacing w:after="0" w:line="240" w:lineRule="auto"/>
      </w:pPr>
      <w:r>
        <w:continuationSeparator/>
      </w:r>
    </w:p>
  </w:footnote>
  <w:footnote w:id="1">
    <w:p w:rsidR="003836ED" w:rsidRDefault="003836ED">
      <w:pPr>
        <w:pStyle w:val="FootnoteText"/>
      </w:pPr>
      <w:r>
        <w:rPr>
          <w:rStyle w:val="FootnoteReference"/>
        </w:rPr>
        <w:footnoteRef/>
      </w:r>
      <w:r>
        <w:t xml:space="preserve">  Access Planning Project in ‘Implementing the Disability Discrimination Act in schools and Early Years’ DFES 2006</w:t>
      </w:r>
    </w:p>
  </w:footnote>
  <w:footnote w:id="2">
    <w:p w:rsidR="003836ED" w:rsidRDefault="003836ED">
      <w:pPr>
        <w:pStyle w:val="FootnoteText"/>
      </w:pPr>
      <w:r>
        <w:rPr>
          <w:rStyle w:val="FootnoteReference"/>
        </w:rPr>
        <w:footnoteRef/>
      </w:r>
      <w:r>
        <w:t xml:space="preserve">  The Impact of the Duty to Promote Disability Equality in Schools in England: A Report for the DCSF</w:t>
      </w:r>
    </w:p>
    <w:p w:rsidR="003836ED" w:rsidRDefault="005B529C">
      <w:pPr>
        <w:pStyle w:val="FootnoteText"/>
      </w:pPr>
      <w:hyperlink r:id="rId1" w:history="1">
        <w:r w:rsidR="003836ED" w:rsidRPr="00D505D0">
          <w:rPr>
            <w:rStyle w:val="Hyperlink"/>
          </w:rPr>
          <w:t>http://www.worldofinclusion.com/res/impact/dpdes.doc</w:t>
        </w:r>
      </w:hyperlink>
      <w:r w:rsidR="003836ED">
        <w:t xml:space="preserve"> </w:t>
      </w:r>
    </w:p>
  </w:footnote>
  <w:footnote w:id="3">
    <w:p w:rsidR="003836ED" w:rsidRDefault="003836ED">
      <w:pPr>
        <w:pStyle w:val="FootnoteText"/>
      </w:pPr>
      <w:r>
        <w:rPr>
          <w:rStyle w:val="FootnoteReference"/>
        </w:rPr>
        <w:footnoteRef/>
      </w:r>
      <w:r>
        <w:t xml:space="preserve"> QCDA ‘Disability and curriculum, project’ World of Inclusion  2010 </w:t>
      </w:r>
      <w:hyperlink r:id="rId2" w:history="1">
        <w:r w:rsidRPr="00D505D0">
          <w:rPr>
            <w:rStyle w:val="Hyperlink"/>
          </w:rPr>
          <w:t>http://www.worldofinclusion.com/qcda.htm</w:t>
        </w:r>
      </w:hyperlink>
      <w:r>
        <w:t xml:space="preserve"> </w:t>
      </w:r>
    </w:p>
  </w:footnote>
  <w:footnote w:id="4">
    <w:p w:rsidR="003836ED" w:rsidRDefault="003836ED">
      <w:pPr>
        <w:pStyle w:val="FootnoteText"/>
      </w:pPr>
      <w:r>
        <w:rPr>
          <w:rStyle w:val="FootnoteReference"/>
        </w:rPr>
        <w:footnoteRef/>
      </w:r>
      <w:r>
        <w:t xml:space="preserve"> </w:t>
      </w:r>
      <w:hyperlink r:id="rId3" w:history="1">
        <w:r w:rsidRPr="00D505D0">
          <w:rPr>
            <w:rStyle w:val="Hyperlink"/>
          </w:rPr>
          <w:t>http://www.worldofinclusion.com/res/impact/DES_Anonomised_Report.doc</w:t>
        </w:r>
      </w:hyperlink>
      <w:r>
        <w:t xml:space="preserve"> </w:t>
      </w:r>
    </w:p>
  </w:footnote>
  <w:footnote w:id="5">
    <w:p w:rsidR="00434872" w:rsidRDefault="00434872">
      <w:pPr>
        <w:pStyle w:val="FootnoteText"/>
      </w:pPr>
      <w:r>
        <w:rPr>
          <w:rStyle w:val="FootnoteReference"/>
        </w:rPr>
        <w:footnoteRef/>
      </w:r>
      <w:r>
        <w:t xml:space="preserve"> Mencap(2008) ‘Just Not a Priority: Schools and disability equality’ London, Mencap.</w:t>
      </w:r>
    </w:p>
  </w:footnote>
  <w:footnote w:id="6">
    <w:p w:rsidR="003836ED" w:rsidRDefault="003836ED">
      <w:pPr>
        <w:pStyle w:val="FootnoteText"/>
      </w:pPr>
      <w:r>
        <w:rPr>
          <w:rStyle w:val="FootnoteReference"/>
        </w:rPr>
        <w:footnoteRef/>
      </w:r>
      <w:r>
        <w:t xml:space="preserve">  ‘The Equality Duty and Schools ‘ (2011) Bukowski, G., Roberts, H., Fraser, J and Johnson F  EHRC Research Report 70  EHRC , London </w:t>
      </w:r>
      <w:hyperlink r:id="rId4" w:history="1">
        <w:r>
          <w:rPr>
            <w:rStyle w:val="Hyperlink"/>
          </w:rPr>
          <w:t>http://www.equalityhumanrights.com/uploaded_files/research/rr70_equality_duties_and_schools.pdf</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50BC8"/>
    <w:multiLevelType w:val="hybridMultilevel"/>
    <w:tmpl w:val="6390EB94"/>
    <w:lvl w:ilvl="0" w:tplc="12C45390">
      <w:start w:val="1"/>
      <w:numFmt w:val="bullet"/>
      <w:lvlText w:val="•"/>
      <w:lvlJc w:val="left"/>
      <w:pPr>
        <w:tabs>
          <w:tab w:val="num" w:pos="720"/>
        </w:tabs>
        <w:ind w:left="720" w:hanging="360"/>
      </w:pPr>
      <w:rPr>
        <w:rFonts w:ascii="Arial" w:hAnsi="Arial" w:hint="default"/>
      </w:rPr>
    </w:lvl>
    <w:lvl w:ilvl="1" w:tplc="47645D04" w:tentative="1">
      <w:start w:val="1"/>
      <w:numFmt w:val="bullet"/>
      <w:lvlText w:val="•"/>
      <w:lvlJc w:val="left"/>
      <w:pPr>
        <w:tabs>
          <w:tab w:val="num" w:pos="1440"/>
        </w:tabs>
        <w:ind w:left="1440" w:hanging="360"/>
      </w:pPr>
      <w:rPr>
        <w:rFonts w:ascii="Arial" w:hAnsi="Arial" w:hint="default"/>
      </w:rPr>
    </w:lvl>
    <w:lvl w:ilvl="2" w:tplc="F9247A9C" w:tentative="1">
      <w:start w:val="1"/>
      <w:numFmt w:val="bullet"/>
      <w:lvlText w:val="•"/>
      <w:lvlJc w:val="left"/>
      <w:pPr>
        <w:tabs>
          <w:tab w:val="num" w:pos="2160"/>
        </w:tabs>
        <w:ind w:left="2160" w:hanging="360"/>
      </w:pPr>
      <w:rPr>
        <w:rFonts w:ascii="Arial" w:hAnsi="Arial" w:hint="default"/>
      </w:rPr>
    </w:lvl>
    <w:lvl w:ilvl="3" w:tplc="2B04C5E8" w:tentative="1">
      <w:start w:val="1"/>
      <w:numFmt w:val="bullet"/>
      <w:lvlText w:val="•"/>
      <w:lvlJc w:val="left"/>
      <w:pPr>
        <w:tabs>
          <w:tab w:val="num" w:pos="2880"/>
        </w:tabs>
        <w:ind w:left="2880" w:hanging="360"/>
      </w:pPr>
      <w:rPr>
        <w:rFonts w:ascii="Arial" w:hAnsi="Arial" w:hint="default"/>
      </w:rPr>
    </w:lvl>
    <w:lvl w:ilvl="4" w:tplc="0C882B6E" w:tentative="1">
      <w:start w:val="1"/>
      <w:numFmt w:val="bullet"/>
      <w:lvlText w:val="•"/>
      <w:lvlJc w:val="left"/>
      <w:pPr>
        <w:tabs>
          <w:tab w:val="num" w:pos="3600"/>
        </w:tabs>
        <w:ind w:left="3600" w:hanging="360"/>
      </w:pPr>
      <w:rPr>
        <w:rFonts w:ascii="Arial" w:hAnsi="Arial" w:hint="default"/>
      </w:rPr>
    </w:lvl>
    <w:lvl w:ilvl="5" w:tplc="71C2BB70" w:tentative="1">
      <w:start w:val="1"/>
      <w:numFmt w:val="bullet"/>
      <w:lvlText w:val="•"/>
      <w:lvlJc w:val="left"/>
      <w:pPr>
        <w:tabs>
          <w:tab w:val="num" w:pos="4320"/>
        </w:tabs>
        <w:ind w:left="4320" w:hanging="360"/>
      </w:pPr>
      <w:rPr>
        <w:rFonts w:ascii="Arial" w:hAnsi="Arial" w:hint="default"/>
      </w:rPr>
    </w:lvl>
    <w:lvl w:ilvl="6" w:tplc="5010E576" w:tentative="1">
      <w:start w:val="1"/>
      <w:numFmt w:val="bullet"/>
      <w:lvlText w:val="•"/>
      <w:lvlJc w:val="left"/>
      <w:pPr>
        <w:tabs>
          <w:tab w:val="num" w:pos="5040"/>
        </w:tabs>
        <w:ind w:left="5040" w:hanging="360"/>
      </w:pPr>
      <w:rPr>
        <w:rFonts w:ascii="Arial" w:hAnsi="Arial" w:hint="default"/>
      </w:rPr>
    </w:lvl>
    <w:lvl w:ilvl="7" w:tplc="6476759E" w:tentative="1">
      <w:start w:val="1"/>
      <w:numFmt w:val="bullet"/>
      <w:lvlText w:val="•"/>
      <w:lvlJc w:val="left"/>
      <w:pPr>
        <w:tabs>
          <w:tab w:val="num" w:pos="5760"/>
        </w:tabs>
        <w:ind w:left="5760" w:hanging="360"/>
      </w:pPr>
      <w:rPr>
        <w:rFonts w:ascii="Arial" w:hAnsi="Arial" w:hint="default"/>
      </w:rPr>
    </w:lvl>
    <w:lvl w:ilvl="8" w:tplc="AB5ED41C" w:tentative="1">
      <w:start w:val="1"/>
      <w:numFmt w:val="bullet"/>
      <w:lvlText w:val="•"/>
      <w:lvlJc w:val="left"/>
      <w:pPr>
        <w:tabs>
          <w:tab w:val="num" w:pos="6480"/>
        </w:tabs>
        <w:ind w:left="6480" w:hanging="360"/>
      </w:pPr>
      <w:rPr>
        <w:rFonts w:ascii="Arial" w:hAnsi="Arial" w:hint="default"/>
      </w:rPr>
    </w:lvl>
  </w:abstractNum>
  <w:abstractNum w:abstractNumId="1">
    <w:nsid w:val="54580348"/>
    <w:multiLevelType w:val="hybridMultilevel"/>
    <w:tmpl w:val="24A2BE5E"/>
    <w:lvl w:ilvl="0" w:tplc="C83400C2">
      <w:start w:val="1"/>
      <w:numFmt w:val="bullet"/>
      <w:lvlText w:val="•"/>
      <w:lvlJc w:val="left"/>
      <w:pPr>
        <w:tabs>
          <w:tab w:val="num" w:pos="720"/>
        </w:tabs>
        <w:ind w:left="720" w:hanging="360"/>
      </w:pPr>
      <w:rPr>
        <w:rFonts w:ascii="Arial" w:hAnsi="Arial" w:hint="default"/>
      </w:rPr>
    </w:lvl>
    <w:lvl w:ilvl="1" w:tplc="72AA59E4" w:tentative="1">
      <w:start w:val="1"/>
      <w:numFmt w:val="bullet"/>
      <w:lvlText w:val="•"/>
      <w:lvlJc w:val="left"/>
      <w:pPr>
        <w:tabs>
          <w:tab w:val="num" w:pos="1440"/>
        </w:tabs>
        <w:ind w:left="1440" w:hanging="360"/>
      </w:pPr>
      <w:rPr>
        <w:rFonts w:ascii="Arial" w:hAnsi="Arial" w:hint="default"/>
      </w:rPr>
    </w:lvl>
    <w:lvl w:ilvl="2" w:tplc="F7F2B59C" w:tentative="1">
      <w:start w:val="1"/>
      <w:numFmt w:val="bullet"/>
      <w:lvlText w:val="•"/>
      <w:lvlJc w:val="left"/>
      <w:pPr>
        <w:tabs>
          <w:tab w:val="num" w:pos="2160"/>
        </w:tabs>
        <w:ind w:left="2160" w:hanging="360"/>
      </w:pPr>
      <w:rPr>
        <w:rFonts w:ascii="Arial" w:hAnsi="Arial" w:hint="default"/>
      </w:rPr>
    </w:lvl>
    <w:lvl w:ilvl="3" w:tplc="C5D2C5FE" w:tentative="1">
      <w:start w:val="1"/>
      <w:numFmt w:val="bullet"/>
      <w:lvlText w:val="•"/>
      <w:lvlJc w:val="left"/>
      <w:pPr>
        <w:tabs>
          <w:tab w:val="num" w:pos="2880"/>
        </w:tabs>
        <w:ind w:left="2880" w:hanging="360"/>
      </w:pPr>
      <w:rPr>
        <w:rFonts w:ascii="Arial" w:hAnsi="Arial" w:hint="default"/>
      </w:rPr>
    </w:lvl>
    <w:lvl w:ilvl="4" w:tplc="34924568" w:tentative="1">
      <w:start w:val="1"/>
      <w:numFmt w:val="bullet"/>
      <w:lvlText w:val="•"/>
      <w:lvlJc w:val="left"/>
      <w:pPr>
        <w:tabs>
          <w:tab w:val="num" w:pos="3600"/>
        </w:tabs>
        <w:ind w:left="3600" w:hanging="360"/>
      </w:pPr>
      <w:rPr>
        <w:rFonts w:ascii="Arial" w:hAnsi="Arial" w:hint="default"/>
      </w:rPr>
    </w:lvl>
    <w:lvl w:ilvl="5" w:tplc="F3709F76" w:tentative="1">
      <w:start w:val="1"/>
      <w:numFmt w:val="bullet"/>
      <w:lvlText w:val="•"/>
      <w:lvlJc w:val="left"/>
      <w:pPr>
        <w:tabs>
          <w:tab w:val="num" w:pos="4320"/>
        </w:tabs>
        <w:ind w:left="4320" w:hanging="360"/>
      </w:pPr>
      <w:rPr>
        <w:rFonts w:ascii="Arial" w:hAnsi="Arial" w:hint="default"/>
      </w:rPr>
    </w:lvl>
    <w:lvl w:ilvl="6" w:tplc="FFF63F62" w:tentative="1">
      <w:start w:val="1"/>
      <w:numFmt w:val="bullet"/>
      <w:lvlText w:val="•"/>
      <w:lvlJc w:val="left"/>
      <w:pPr>
        <w:tabs>
          <w:tab w:val="num" w:pos="5040"/>
        </w:tabs>
        <w:ind w:left="5040" w:hanging="360"/>
      </w:pPr>
      <w:rPr>
        <w:rFonts w:ascii="Arial" w:hAnsi="Arial" w:hint="default"/>
      </w:rPr>
    </w:lvl>
    <w:lvl w:ilvl="7" w:tplc="FA62087A" w:tentative="1">
      <w:start w:val="1"/>
      <w:numFmt w:val="bullet"/>
      <w:lvlText w:val="•"/>
      <w:lvlJc w:val="left"/>
      <w:pPr>
        <w:tabs>
          <w:tab w:val="num" w:pos="5760"/>
        </w:tabs>
        <w:ind w:left="5760" w:hanging="360"/>
      </w:pPr>
      <w:rPr>
        <w:rFonts w:ascii="Arial" w:hAnsi="Arial" w:hint="default"/>
      </w:rPr>
    </w:lvl>
    <w:lvl w:ilvl="8" w:tplc="9B78F23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772ED2"/>
    <w:rsid w:val="000124B2"/>
    <w:rsid w:val="0005211D"/>
    <w:rsid w:val="0007428F"/>
    <w:rsid w:val="00080A92"/>
    <w:rsid w:val="000D5270"/>
    <w:rsid w:val="001458D2"/>
    <w:rsid w:val="00251F62"/>
    <w:rsid w:val="00252FF2"/>
    <w:rsid w:val="002741BF"/>
    <w:rsid w:val="002B2AD0"/>
    <w:rsid w:val="002C3D23"/>
    <w:rsid w:val="002F52F4"/>
    <w:rsid w:val="003836ED"/>
    <w:rsid w:val="003D1544"/>
    <w:rsid w:val="003E2EBC"/>
    <w:rsid w:val="004077A7"/>
    <w:rsid w:val="00434872"/>
    <w:rsid w:val="0045470E"/>
    <w:rsid w:val="004813E4"/>
    <w:rsid w:val="005B529C"/>
    <w:rsid w:val="005B683B"/>
    <w:rsid w:val="0063020E"/>
    <w:rsid w:val="0063361A"/>
    <w:rsid w:val="006542FF"/>
    <w:rsid w:val="00673F73"/>
    <w:rsid w:val="006F3102"/>
    <w:rsid w:val="00772ED2"/>
    <w:rsid w:val="00797E2C"/>
    <w:rsid w:val="007B6DE8"/>
    <w:rsid w:val="008033FF"/>
    <w:rsid w:val="00807F0B"/>
    <w:rsid w:val="00814A2A"/>
    <w:rsid w:val="00967CB5"/>
    <w:rsid w:val="00997A96"/>
    <w:rsid w:val="00A44E10"/>
    <w:rsid w:val="00AB4C3B"/>
    <w:rsid w:val="00AB7AA8"/>
    <w:rsid w:val="00B22DC6"/>
    <w:rsid w:val="00BF394F"/>
    <w:rsid w:val="00D217DF"/>
    <w:rsid w:val="00D62836"/>
    <w:rsid w:val="00E83364"/>
    <w:rsid w:val="00ED2F78"/>
    <w:rsid w:val="00F44395"/>
    <w:rsid w:val="00FB6F78"/>
    <w:rsid w:val="00FE5634"/>
    <w:rsid w:val="00FE58C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2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2ED2"/>
    <w:rPr>
      <w:color w:val="0000FF" w:themeColor="hyperlink"/>
      <w:u w:val="single"/>
    </w:rPr>
  </w:style>
  <w:style w:type="paragraph" w:styleId="FootnoteText">
    <w:name w:val="footnote text"/>
    <w:basedOn w:val="Normal"/>
    <w:link w:val="FootnoteTextChar"/>
    <w:uiPriority w:val="99"/>
    <w:semiHidden/>
    <w:unhideWhenUsed/>
    <w:rsid w:val="00BF39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394F"/>
    <w:rPr>
      <w:sz w:val="20"/>
      <w:szCs w:val="20"/>
    </w:rPr>
  </w:style>
  <w:style w:type="character" w:styleId="FootnoteReference">
    <w:name w:val="footnote reference"/>
    <w:basedOn w:val="DefaultParagraphFont"/>
    <w:uiPriority w:val="99"/>
    <w:semiHidden/>
    <w:unhideWhenUsed/>
    <w:rsid w:val="00BF394F"/>
    <w:rPr>
      <w:vertAlign w:val="superscript"/>
    </w:rPr>
  </w:style>
  <w:style w:type="paragraph" w:styleId="BalloonText">
    <w:name w:val="Balloon Text"/>
    <w:basedOn w:val="Normal"/>
    <w:link w:val="BalloonTextChar"/>
    <w:uiPriority w:val="99"/>
    <w:semiHidden/>
    <w:unhideWhenUsed/>
    <w:rsid w:val="0014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8D2"/>
    <w:rPr>
      <w:rFonts w:ascii="Tahoma" w:hAnsi="Tahoma" w:cs="Tahoma"/>
      <w:sz w:val="16"/>
      <w:szCs w:val="16"/>
    </w:rPr>
  </w:style>
  <w:style w:type="table" w:styleId="TableGrid">
    <w:name w:val="Table Grid"/>
    <w:basedOn w:val="TableNormal"/>
    <w:uiPriority w:val="59"/>
    <w:rsid w:val="001458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36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2ED2"/>
    <w:rPr>
      <w:color w:val="0000FF" w:themeColor="hyperlink"/>
      <w:u w:val="single"/>
    </w:rPr>
  </w:style>
  <w:style w:type="paragraph" w:styleId="FootnoteText">
    <w:name w:val="footnote text"/>
    <w:basedOn w:val="Normal"/>
    <w:link w:val="FootnoteTextChar"/>
    <w:uiPriority w:val="99"/>
    <w:semiHidden/>
    <w:unhideWhenUsed/>
    <w:rsid w:val="00BF39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394F"/>
    <w:rPr>
      <w:sz w:val="20"/>
      <w:szCs w:val="20"/>
    </w:rPr>
  </w:style>
  <w:style w:type="character" w:styleId="FootnoteReference">
    <w:name w:val="footnote reference"/>
    <w:basedOn w:val="DefaultParagraphFont"/>
    <w:uiPriority w:val="99"/>
    <w:semiHidden/>
    <w:unhideWhenUsed/>
    <w:rsid w:val="00BF394F"/>
    <w:rPr>
      <w:vertAlign w:val="superscript"/>
    </w:rPr>
  </w:style>
  <w:style w:type="paragraph" w:styleId="BalloonText">
    <w:name w:val="Balloon Text"/>
    <w:basedOn w:val="Normal"/>
    <w:link w:val="BalloonTextChar"/>
    <w:uiPriority w:val="99"/>
    <w:semiHidden/>
    <w:unhideWhenUsed/>
    <w:rsid w:val="0014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8D2"/>
    <w:rPr>
      <w:rFonts w:ascii="Tahoma" w:hAnsi="Tahoma" w:cs="Tahoma"/>
      <w:sz w:val="16"/>
      <w:szCs w:val="16"/>
    </w:rPr>
  </w:style>
  <w:style w:type="table" w:styleId="TableGrid">
    <w:name w:val="Table Grid"/>
    <w:basedOn w:val="TableNormal"/>
    <w:uiPriority w:val="59"/>
    <w:rsid w:val="001458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36ED"/>
    <w:pPr>
      <w:ind w:left="720"/>
      <w:contextualSpacing/>
    </w:pPr>
  </w:style>
</w:styles>
</file>

<file path=word/webSettings.xml><?xml version="1.0" encoding="utf-8"?>
<w:webSettings xmlns:r="http://schemas.openxmlformats.org/officeDocument/2006/relationships" xmlns:w="http://schemas.openxmlformats.org/wordprocessingml/2006/main">
  <w:divs>
    <w:div w:id="612203683">
      <w:bodyDiv w:val="1"/>
      <w:marLeft w:val="0"/>
      <w:marRight w:val="0"/>
      <w:marTop w:val="0"/>
      <w:marBottom w:val="0"/>
      <w:divBdr>
        <w:top w:val="none" w:sz="0" w:space="0" w:color="auto"/>
        <w:left w:val="none" w:sz="0" w:space="0" w:color="auto"/>
        <w:bottom w:val="none" w:sz="0" w:space="0" w:color="auto"/>
        <w:right w:val="none" w:sz="0" w:space="0" w:color="auto"/>
      </w:divBdr>
    </w:div>
    <w:div w:id="2079159560">
      <w:bodyDiv w:val="1"/>
      <w:marLeft w:val="0"/>
      <w:marRight w:val="0"/>
      <w:marTop w:val="0"/>
      <w:marBottom w:val="0"/>
      <w:divBdr>
        <w:top w:val="none" w:sz="0" w:space="0" w:color="auto"/>
        <w:left w:val="none" w:sz="0" w:space="0" w:color="auto"/>
        <w:bottom w:val="none" w:sz="0" w:space="0" w:color="auto"/>
        <w:right w:val="none" w:sz="0" w:space="0" w:color="auto"/>
      </w:divBdr>
      <w:divsChild>
        <w:div w:id="1917202760">
          <w:marLeft w:val="547"/>
          <w:marRight w:val="0"/>
          <w:marTop w:val="134"/>
          <w:marBottom w:val="0"/>
          <w:divBdr>
            <w:top w:val="none" w:sz="0" w:space="0" w:color="auto"/>
            <w:left w:val="none" w:sz="0" w:space="0" w:color="auto"/>
            <w:bottom w:val="none" w:sz="0" w:space="0" w:color="auto"/>
            <w:right w:val="none" w:sz="0" w:space="0" w:color="auto"/>
          </w:divBdr>
        </w:div>
        <w:div w:id="1012535648">
          <w:marLeft w:val="547"/>
          <w:marRight w:val="0"/>
          <w:marTop w:val="134"/>
          <w:marBottom w:val="0"/>
          <w:divBdr>
            <w:top w:val="none" w:sz="0" w:space="0" w:color="auto"/>
            <w:left w:val="none" w:sz="0" w:space="0" w:color="auto"/>
            <w:bottom w:val="none" w:sz="0" w:space="0" w:color="auto"/>
            <w:right w:val="none" w:sz="0" w:space="0" w:color="auto"/>
          </w:divBdr>
        </w:div>
        <w:div w:id="1526558586">
          <w:marLeft w:val="547"/>
          <w:marRight w:val="0"/>
          <w:marTop w:val="134"/>
          <w:marBottom w:val="0"/>
          <w:divBdr>
            <w:top w:val="none" w:sz="0" w:space="0" w:color="auto"/>
            <w:left w:val="none" w:sz="0" w:space="0" w:color="auto"/>
            <w:bottom w:val="none" w:sz="0" w:space="0" w:color="auto"/>
            <w:right w:val="none" w:sz="0" w:space="0" w:color="auto"/>
          </w:divBdr>
        </w:div>
        <w:div w:id="2136094209">
          <w:marLeft w:val="547"/>
          <w:marRight w:val="0"/>
          <w:marTop w:val="134"/>
          <w:marBottom w:val="0"/>
          <w:divBdr>
            <w:top w:val="none" w:sz="0" w:space="0" w:color="auto"/>
            <w:left w:val="none" w:sz="0" w:space="0" w:color="auto"/>
            <w:bottom w:val="none" w:sz="0" w:space="0" w:color="auto"/>
            <w:right w:val="none" w:sz="0" w:space="0" w:color="auto"/>
          </w:divBdr>
        </w:div>
        <w:div w:id="1437021903">
          <w:marLeft w:val="547"/>
          <w:marRight w:val="0"/>
          <w:marTop w:val="134"/>
          <w:marBottom w:val="0"/>
          <w:divBdr>
            <w:top w:val="none" w:sz="0" w:space="0" w:color="auto"/>
            <w:left w:val="none" w:sz="0" w:space="0" w:color="auto"/>
            <w:bottom w:val="none" w:sz="0" w:space="0" w:color="auto"/>
            <w:right w:val="none" w:sz="0" w:space="0" w:color="auto"/>
          </w:divBdr>
        </w:div>
        <w:div w:id="1737706232">
          <w:marLeft w:val="547"/>
          <w:marRight w:val="0"/>
          <w:marTop w:val="134"/>
          <w:marBottom w:val="0"/>
          <w:divBdr>
            <w:top w:val="none" w:sz="0" w:space="0" w:color="auto"/>
            <w:left w:val="none" w:sz="0" w:space="0" w:color="auto"/>
            <w:bottom w:val="none" w:sz="0" w:space="0" w:color="auto"/>
            <w:right w:val="none" w:sz="0" w:space="0" w:color="auto"/>
          </w:divBdr>
        </w:div>
        <w:div w:id="150949454">
          <w:marLeft w:val="547"/>
          <w:marRight w:val="0"/>
          <w:marTop w:val="134"/>
          <w:marBottom w:val="0"/>
          <w:divBdr>
            <w:top w:val="none" w:sz="0" w:space="0" w:color="auto"/>
            <w:left w:val="none" w:sz="0" w:space="0" w:color="auto"/>
            <w:bottom w:val="none" w:sz="0" w:space="0" w:color="auto"/>
            <w:right w:val="none" w:sz="0" w:space="0" w:color="auto"/>
          </w:divBdr>
        </w:div>
        <w:div w:id="1897738060">
          <w:marLeft w:val="547"/>
          <w:marRight w:val="0"/>
          <w:marTop w:val="134"/>
          <w:marBottom w:val="0"/>
          <w:divBdr>
            <w:top w:val="none" w:sz="0" w:space="0" w:color="auto"/>
            <w:left w:val="none" w:sz="0" w:space="0" w:color="auto"/>
            <w:bottom w:val="none" w:sz="0" w:space="0" w:color="auto"/>
            <w:right w:val="none" w:sz="0" w:space="0" w:color="auto"/>
          </w:divBdr>
        </w:div>
      </w:divsChild>
    </w:div>
    <w:div w:id="2137794877">
      <w:bodyDiv w:val="1"/>
      <w:marLeft w:val="0"/>
      <w:marRight w:val="0"/>
      <w:marTop w:val="0"/>
      <w:marBottom w:val="0"/>
      <w:divBdr>
        <w:top w:val="none" w:sz="0" w:space="0" w:color="auto"/>
        <w:left w:val="none" w:sz="0" w:space="0" w:color="auto"/>
        <w:bottom w:val="none" w:sz="0" w:space="0" w:color="auto"/>
        <w:right w:val="none" w:sz="0" w:space="0" w:color="auto"/>
      </w:divBdr>
      <w:divsChild>
        <w:div w:id="1682464916">
          <w:marLeft w:val="547"/>
          <w:marRight w:val="0"/>
          <w:marTop w:val="120"/>
          <w:marBottom w:val="0"/>
          <w:divBdr>
            <w:top w:val="none" w:sz="0" w:space="0" w:color="auto"/>
            <w:left w:val="none" w:sz="0" w:space="0" w:color="auto"/>
            <w:bottom w:val="none" w:sz="0" w:space="0" w:color="auto"/>
            <w:right w:val="none" w:sz="0" w:space="0" w:color="auto"/>
          </w:divBdr>
        </w:div>
        <w:div w:id="719011948">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lrieser@gmail.com"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ukdisabilityhistorymonth.com" TargetMode="External"/><Relationship Id="rId4" Type="http://schemas.openxmlformats.org/officeDocument/2006/relationships/settings" Target="settings.xml"/><Relationship Id="rId9" Type="http://schemas.openxmlformats.org/officeDocument/2006/relationships/hyperlink" Target="http://www.worldofinclusion.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worldofinclusion.com/res/impact/DES_Anonomised_Report.doc" TargetMode="External"/><Relationship Id="rId2" Type="http://schemas.openxmlformats.org/officeDocument/2006/relationships/hyperlink" Target="http://www.worldofinclusion.com/qcda.htm" TargetMode="External"/><Relationship Id="rId1" Type="http://schemas.openxmlformats.org/officeDocument/2006/relationships/hyperlink" Target="http://www.worldofinclusion.com/res/impact/dpdes.doc" TargetMode="External"/><Relationship Id="rId4" Type="http://schemas.openxmlformats.org/officeDocument/2006/relationships/hyperlink" Target="http://www.equalityhumanrights.com/uploaded_files/research/rr70_equality_duties_and_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CA61F-894B-4F70-B9B0-B2CC76DB9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3021</Words>
  <Characters>17225</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World of Inclusion</Company>
  <LinksUpToDate>false</LinksUpToDate>
  <CharactersWithSpaces>20206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rrieser</dc:creator>
  <cp:lastModifiedBy>rrieser</cp:lastModifiedBy>
  <cp:revision>2</cp:revision>
  <dcterms:created xsi:type="dcterms:W3CDTF">2012-02-17T18:58:00Z</dcterms:created>
  <dcterms:modified xsi:type="dcterms:W3CDTF">2012-02-17T18:58:00Z</dcterms:modified>
</cp:coreProperties>
</file>